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竞争性谈判文件示范文本（工程类）</w:t>
      </w:r>
    </w:p>
    <w:bookmarkEnd w:id="0"/>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2024版本</w:t>
      </w:r>
      <w:r>
        <w:rPr>
          <w:rFonts w:hint="eastAsia"/>
          <w:b/>
          <w:bCs/>
          <w:color w:val="auto"/>
          <w:sz w:val="52"/>
          <w:szCs w:val="52"/>
          <w:highlight w:val="none"/>
        </w:rPr>
        <w:t>）</w:t>
      </w:r>
    </w:p>
    <w:p>
      <w:pPr>
        <w:tabs>
          <w:tab w:val="left" w:pos="315"/>
          <w:tab w:val="left" w:pos="8820"/>
        </w:tabs>
        <w:spacing w:before="240" w:beforeLines="100" w:after="120" w:afterLines="50" w:line="500" w:lineRule="exact"/>
        <w:ind w:right="254" w:rightChars="127"/>
        <w:jc w:val="center"/>
        <w:rPr>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rPr>
          <w:rFonts w:hint="default" w:eastAsia="宋体"/>
          <w:b/>
          <w:color w:val="auto"/>
          <w:spacing w:val="20"/>
          <w:sz w:val="32"/>
          <w:szCs w:val="32"/>
          <w:highlight w:val="non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项目编号：</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b/>
          <w:color w:val="auto"/>
          <w:spacing w:val="2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jc w:val="center"/>
        <w:rPr>
          <w:b/>
          <w:color w:val="auto"/>
          <w:sz w:val="36"/>
          <w:highlight w:val="none"/>
        </w:rPr>
      </w:pPr>
    </w:p>
    <w:p>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rPr>
        <w:t xml:space="preserve">    </w:t>
      </w:r>
      <w:r>
        <w:rPr>
          <w:rFonts w:hint="eastAsia"/>
          <w:b/>
          <w:color w:val="auto"/>
          <w:sz w:val="36"/>
          <w:highlight w:val="none"/>
        </w:rPr>
        <w:t>年</w:t>
      </w:r>
      <w:r>
        <w:rPr>
          <w:rFonts w:hint="eastAsia"/>
          <w:b/>
          <w:color w:val="auto"/>
          <w:sz w:val="36"/>
          <w:highlight w:val="none"/>
          <w:u w:val="single"/>
        </w:rPr>
        <w:t xml:space="preserve">  </w:t>
      </w:r>
      <w:r>
        <w:rPr>
          <w:rFonts w:hint="eastAsia"/>
          <w:b/>
          <w:color w:val="auto"/>
          <w:sz w:val="36"/>
          <w:highlight w:val="none"/>
        </w:rPr>
        <w:t>月</w:t>
      </w:r>
      <w:r>
        <w:rPr>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99301417"/>
      <w:bookmarkStart w:id="3" w:name="_Toc31048"/>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lang w:val="en-US" w:eastAsia="zh-CN"/>
        </w:rPr>
        <w:t>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b w:val="0"/>
          <w:bCs w:val="0"/>
          <w:kern w:val="0"/>
          <w:sz w:val="24"/>
          <w:szCs w:val="24"/>
          <w:highlight w:val="none"/>
        </w:rPr>
      </w:pPr>
      <w:r>
        <w:rPr>
          <w:rFonts w:ascii="Times New Roman" w:hAnsi="Times New Roman" w:eastAsia="宋体" w:cs="Times New Roman"/>
          <w:b w:val="0"/>
          <w:bCs w:val="0"/>
          <w:kern w:val="0"/>
          <w:sz w:val="24"/>
          <w:szCs w:val="24"/>
          <w:highlight w:val="none"/>
        </w:rPr>
        <w:t>为便于供应商制作</w:t>
      </w:r>
      <w:r>
        <w:rPr>
          <w:rFonts w:hint="eastAsia" w:ascii="Times New Roman" w:hAnsi="Times New Roman" w:cs="Times New Roman"/>
          <w:b w:val="0"/>
          <w:bCs w:val="0"/>
          <w:kern w:val="0"/>
          <w:sz w:val="24"/>
          <w:szCs w:val="24"/>
          <w:highlight w:val="none"/>
          <w:lang w:val="en-US" w:eastAsia="zh-CN"/>
        </w:rPr>
        <w:t>响应</w:t>
      </w:r>
      <w:r>
        <w:rPr>
          <w:rFonts w:ascii="Times New Roman" w:hAnsi="Times New Roman" w:eastAsia="宋体" w:cs="Times New Roman"/>
          <w:b w:val="0"/>
          <w:bCs w:val="0"/>
          <w:kern w:val="0"/>
          <w:sz w:val="24"/>
          <w:szCs w:val="24"/>
          <w:highlight w:val="none"/>
        </w:rPr>
        <w:t>文件，便</w:t>
      </w:r>
      <w:r>
        <w:rPr>
          <w:rFonts w:hint="eastAsia" w:ascii="Times New Roman" w:hAnsi="Times New Roman" w:cs="Times New Roman"/>
          <w:b w:val="0"/>
          <w:bCs w:val="0"/>
          <w:kern w:val="0"/>
          <w:sz w:val="24"/>
          <w:szCs w:val="24"/>
          <w:highlight w:val="none"/>
          <w:lang w:val="en-US" w:eastAsia="zh-CN"/>
        </w:rPr>
        <w:t>于谈判小组</w:t>
      </w:r>
      <w:r>
        <w:rPr>
          <w:rFonts w:ascii="Times New Roman" w:hAnsi="Times New Roman" w:eastAsia="宋体" w:cs="Times New Roman"/>
          <w:b w:val="0"/>
          <w:bCs w:val="0"/>
          <w:kern w:val="0"/>
          <w:sz w:val="24"/>
          <w:szCs w:val="24"/>
          <w:highlight w:val="none"/>
        </w:rPr>
        <w:t>评审时统一标准，《示范文本》对适宜的内容提供了统一的</w:t>
      </w:r>
      <w:r>
        <w:rPr>
          <w:rFonts w:hint="eastAsia" w:ascii="Times New Roman" w:hAnsi="Times New Roman" w:cs="Times New Roman"/>
          <w:b w:val="0"/>
          <w:bCs w:val="0"/>
          <w:kern w:val="0"/>
          <w:sz w:val="24"/>
          <w:szCs w:val="24"/>
          <w:highlight w:val="none"/>
          <w:lang w:val="en-US" w:eastAsia="zh-CN"/>
        </w:rPr>
        <w:t>响应</w:t>
      </w:r>
      <w:r>
        <w:rPr>
          <w:rFonts w:ascii="Times New Roman" w:hAnsi="Times New Roman" w:eastAsia="宋体" w:cs="Times New Roman"/>
          <w:b w:val="0"/>
          <w:bCs w:val="0"/>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tabs>
          <w:tab w:val="left" w:pos="2410"/>
        </w:tabs>
        <w:autoSpaceDE w:val="0"/>
        <w:autoSpaceDN w:val="0"/>
        <w:adjustRightInd w:val="0"/>
        <w:snapToGrid w:val="0"/>
        <w:spacing w:line="360" w:lineRule="auto"/>
        <w:ind w:firstLine="480"/>
        <w:jc w:val="center"/>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代理机构可根据法律法规、政府采购政策文件等更新情况项</w:t>
      </w:r>
    </w:p>
    <w:p>
      <w:pPr>
        <w:tabs>
          <w:tab w:val="left" w:pos="2410"/>
        </w:tabs>
        <w:autoSpaceDE w:val="0"/>
        <w:autoSpaceDN w:val="0"/>
        <w:adjustRightInd w:val="0"/>
        <w:snapToGrid w:val="0"/>
        <w:spacing w:line="360" w:lineRule="auto"/>
        <w:jc w:val="both"/>
        <w:rPr>
          <w:rFonts w:hint="eastAsia" w:ascii="Times New Roman" w:hAnsi="Times New Roman" w:eastAsia="宋体" w:cs="Times New Roman"/>
          <w:kern w:val="0"/>
          <w:sz w:val="24"/>
          <w:szCs w:val="24"/>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目具体特点，对示范文本适当进行更新或调整。</w:t>
      </w:r>
    </w:p>
    <w:p>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pPr>
        <w:tabs>
          <w:tab w:val="left" w:pos="2410"/>
        </w:tabs>
        <w:autoSpaceDE w:val="0"/>
        <w:autoSpaceDN w:val="0"/>
        <w:adjustRightInd w:val="0"/>
        <w:snapToGrid w:val="0"/>
        <w:spacing w:line="360" w:lineRule="auto"/>
        <w:jc w:val="center"/>
        <w:rPr>
          <w:b/>
          <w:color w:val="auto"/>
          <w:sz w:val="28"/>
          <w:highlight w:val="none"/>
        </w:rPr>
      </w:pPr>
    </w:p>
    <w:p>
      <w:pPr>
        <w:pStyle w:val="34"/>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_Toc12523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_Toc12523 \h </w:instrText>
      </w:r>
      <w:r>
        <w:fldChar w:fldCharType="separate"/>
      </w:r>
      <w:r>
        <w:t>1</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_Toc32399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_Toc32399 \h </w:instrText>
      </w:r>
      <w:r>
        <w:fldChar w:fldCharType="separate"/>
      </w:r>
      <w:r>
        <w:t>3</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_Toc6146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_Toc6146 \h </w:instrText>
      </w:r>
      <w:r>
        <w:fldChar w:fldCharType="separate"/>
      </w:r>
      <w:r>
        <w:t>18</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_Toc28266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_Toc28266 \h </w:instrText>
      </w:r>
      <w:r>
        <w:fldChar w:fldCharType="separate"/>
      </w:r>
      <w:r>
        <w:t>20</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_Toc32646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_Toc32646 \h </w:instrText>
      </w:r>
      <w:r>
        <w:fldChar w:fldCharType="separate"/>
      </w:r>
      <w:r>
        <w:t>23</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_Toc16770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_Toc16770 \h </w:instrText>
      </w:r>
      <w:r>
        <w:fldChar w:fldCharType="separate"/>
      </w:r>
      <w:r>
        <w:t>73</w:t>
      </w:r>
      <w:r>
        <w:fldChar w:fldCharType="end"/>
      </w:r>
      <w:r>
        <w:rPr>
          <w:rFonts w:asciiTheme="minorEastAsia" w:hAnsiTheme="minorEastAsia"/>
          <w:bCs/>
          <w:color w:val="auto"/>
          <w:szCs w:val="24"/>
          <w:highlight w:val="none"/>
        </w:rPr>
        <w:fldChar w:fldCharType="end"/>
      </w:r>
    </w:p>
    <w:p>
      <w:pPr>
        <w:pStyle w:val="3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_Toc25478 </w:instrText>
      </w:r>
      <w:r>
        <w:rPr>
          <w:rFonts w:asciiTheme="minorEastAsia" w:hAnsiTheme="minorEastAsia"/>
          <w:bCs/>
          <w:szCs w:val="24"/>
          <w:highlight w:val="none"/>
        </w:rPr>
        <w:fldChar w:fldCharType="separate"/>
      </w:r>
      <w:r>
        <w:rPr>
          <w:rFonts w:hint="eastAsia"/>
          <w:bCs/>
          <w:highlight w:val="none"/>
        </w:rPr>
        <w:t>第</w:t>
      </w:r>
      <w:r>
        <w:rPr>
          <w:rFonts w:hint="eastAsia"/>
          <w:bCs/>
          <w:highlight w:val="none"/>
          <w:lang w:val="en-US" w:eastAsia="zh-CN"/>
        </w:rPr>
        <w:t>七</w:t>
      </w:r>
      <w:r>
        <w:rPr>
          <w:rFonts w:hint="eastAsia"/>
          <w:bCs/>
          <w:highlight w:val="none"/>
        </w:rPr>
        <w:t>章  政府采购</w:t>
      </w:r>
      <w:r>
        <w:rPr>
          <w:rFonts w:hint="eastAsia" w:asciiTheme="minorEastAsia" w:hAnsiTheme="minorEastAsia" w:eastAsiaTheme="minorEastAsia"/>
          <w:highlight w:val="none"/>
        </w:rPr>
        <w:t>供应</w:t>
      </w:r>
      <w:r>
        <w:rPr>
          <w:rFonts w:hint="eastAsia"/>
          <w:bCs/>
          <w:highlight w:val="none"/>
        </w:rPr>
        <w:t>商询问函和质疑函范本</w:t>
      </w:r>
      <w:r>
        <w:tab/>
      </w:r>
      <w:r>
        <w:fldChar w:fldCharType="begin"/>
      </w:r>
      <w:r>
        <w:instrText xml:space="preserve"> PAGEREF _Toc25478 \h </w:instrText>
      </w:r>
      <w:r>
        <w:fldChar w:fldCharType="separate"/>
      </w:r>
      <w:r>
        <w:t>92</w:t>
      </w:r>
      <w:r>
        <w:fldChar w:fldCharType="end"/>
      </w:r>
      <w:r>
        <w:rPr>
          <w:rFonts w:asciiTheme="minorEastAsia" w:hAnsiTheme="minorEastAsia"/>
          <w:bCs/>
          <w:color w:val="auto"/>
          <w:szCs w:val="24"/>
          <w:highlight w:val="none"/>
        </w:rPr>
        <w:fldChar w:fldCharType="end"/>
      </w:r>
    </w:p>
    <w:p>
      <w:pPr>
        <w:pStyle w:val="44"/>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252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b/>
          <w:bCs/>
          <w:color w:val="auto"/>
          <w:sz w:val="24"/>
          <w:szCs w:val="18"/>
          <w:highlight w:val="none"/>
        </w:rPr>
      </w:pPr>
      <w:bookmarkStart w:id="5" w:name="_Toc8980"/>
      <w:bookmarkStart w:id="6" w:name="_Toc29179"/>
      <w:r>
        <w:rPr>
          <w:rFonts w:hint="eastAsia"/>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bookmarkStart w:id="7" w:name="_Toc20729"/>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w:t>
      </w:r>
    </w:p>
    <w:bookmarkEnd w:id="7"/>
    <w:p>
      <w:pPr>
        <w:spacing w:line="360" w:lineRule="auto"/>
        <w:ind w:firstLine="435"/>
        <w:outlineLvl w:val="1"/>
        <w:rPr>
          <w:rFonts w:hint="eastAsia" w:eastAsia="宋体"/>
          <w:b/>
          <w:bCs/>
          <w:color w:val="auto"/>
          <w:sz w:val="24"/>
          <w:szCs w:val="18"/>
          <w:highlight w:val="none"/>
          <w:lang w:val="en-US" w:eastAsia="zh-CN"/>
        </w:rPr>
      </w:pPr>
      <w:bookmarkStart w:id="8" w:name="_Toc28946"/>
      <w:bookmarkStart w:id="9" w:name="_Toc8411"/>
      <w:r>
        <w:rPr>
          <w:rFonts w:hint="eastAsia"/>
          <w:b/>
          <w:bCs/>
          <w:color w:val="auto"/>
          <w:sz w:val="24"/>
          <w:szCs w:val="18"/>
          <w:highlight w:val="none"/>
        </w:rPr>
        <w:t>二</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申请人的</w:t>
      </w:r>
      <w:r>
        <w:rPr>
          <w:rFonts w:hint="eastAsia"/>
          <w:b/>
          <w:bCs/>
          <w:color w:val="auto"/>
          <w:sz w:val="24"/>
          <w:szCs w:val="18"/>
          <w:highlight w:val="none"/>
        </w:rPr>
        <w:t>资格</w:t>
      </w:r>
      <w:r>
        <w:rPr>
          <w:rFonts w:hint="eastAsia"/>
          <w:b/>
          <w:bCs/>
          <w:color w:val="auto"/>
          <w:sz w:val="24"/>
          <w:szCs w:val="18"/>
          <w:highlight w:val="none"/>
          <w:lang w:val="en-US" w:eastAsia="zh-CN"/>
        </w:rPr>
        <w:t>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小微企业  采购。即：提供的工程全部由符合政策要求的中小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小微企业承建。</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本项目预留部分采购项目预算专门面向中小企业采购。对于预留份额，提供的工程由符合政策要求的中小企业承建。预留份额通过以下措施进行：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bookmarkEnd w:id="9"/>
    <w:p>
      <w:pPr>
        <w:spacing w:line="360" w:lineRule="auto"/>
        <w:ind w:firstLine="435"/>
        <w:outlineLvl w:val="1"/>
        <w:rPr>
          <w:rFonts w:hint="eastAsia"/>
          <w:b/>
          <w:bCs/>
          <w:color w:val="auto"/>
          <w:sz w:val="24"/>
          <w:highlight w:val="none"/>
        </w:rPr>
      </w:pPr>
      <w:bookmarkStart w:id="10" w:name="_Toc32362"/>
      <w:bookmarkStart w:id="11" w:name="_Toc310"/>
      <w:r>
        <w:rPr>
          <w:rFonts w:hint="eastAsia"/>
          <w:b/>
          <w:bCs/>
          <w:color w:val="auto"/>
          <w:sz w:val="24"/>
          <w:highlight w:val="none"/>
        </w:rPr>
        <w:t>三、获取采购文件</w:t>
      </w:r>
      <w:bookmarkEnd w:id="10"/>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cs="宋体"/>
          <w:sz w:val="24"/>
          <w:szCs w:val="24"/>
          <w:u w:val="single"/>
          <w:lang w:val="en-US" w:eastAsia="zh-CN"/>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rPr>
        <w:t>至</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rPr>
        <w:t>，每天上午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，下午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i/>
          <w:iCs/>
          <w:sz w:val="24"/>
          <w:szCs w:val="24"/>
        </w:rPr>
        <w:t>北京时间，法定节假日除外</w:t>
      </w:r>
      <w:r>
        <w:rPr>
          <w:rFonts w:hint="eastAsia" w:ascii="宋体" w:hAnsi="宋体" w:eastAsia="宋体" w:cs="宋体"/>
          <w:sz w:val="24"/>
          <w:szCs w:val="24"/>
        </w:rPr>
        <w:t>）</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11"/>
    <w:p>
      <w:pPr>
        <w:spacing w:line="360" w:lineRule="auto"/>
        <w:ind w:firstLine="435"/>
        <w:outlineLvl w:val="1"/>
        <w:rPr>
          <w:rFonts w:hint="eastAsia"/>
          <w:b/>
          <w:bCs/>
          <w:color w:val="auto"/>
          <w:sz w:val="24"/>
          <w:highlight w:val="none"/>
        </w:rPr>
      </w:pPr>
      <w:bookmarkStart w:id="12" w:name="_Toc566"/>
      <w:r>
        <w:rPr>
          <w:rFonts w:hint="eastAsia"/>
          <w:b/>
          <w:bCs/>
          <w:color w:val="auto"/>
          <w:sz w:val="24"/>
          <w:highlight w:val="none"/>
        </w:rPr>
        <w:t>四、响应文件提交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lang w:eastAsia="zh-CN"/>
        </w:rPr>
      </w:pPr>
      <w:bookmarkStart w:id="13" w:name="_Toc11944"/>
      <w:r>
        <w:rPr>
          <w:rFonts w:hint="eastAsia" w:asciiTheme="minorEastAsia" w:hAnsiTheme="minorEastAsia" w:eastAsiaTheme="minorEastAsia" w:cstheme="minorEastAsia"/>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i/>
          <w:iCs/>
          <w:sz w:val="24"/>
          <w:szCs w:val="24"/>
        </w:rPr>
        <w:t>从谈判文件开始发出之日起至供应商提交首次响应文件截止之日止不得少于3个工作日</w:t>
      </w:r>
      <w:r>
        <w:rPr>
          <w:rFonts w:hint="eastAsia" w:asciiTheme="minorEastAsia" w:hAnsiTheme="minorEastAsia" w:eastAsiaTheme="minorEastAsia" w:cstheme="minorEastAsia"/>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b/>
          <w:bCs/>
          <w:color w:val="auto"/>
          <w:sz w:val="24"/>
          <w:highlight w:val="none"/>
        </w:rPr>
      </w:pPr>
      <w:bookmarkStart w:id="14" w:name="_Toc35393802"/>
      <w:bookmarkStart w:id="15" w:name="_Toc28359016"/>
      <w:bookmarkStart w:id="16" w:name="_Toc35393633"/>
      <w:bookmarkStart w:id="17" w:name="_Toc28359093"/>
      <w:bookmarkStart w:id="18" w:name="_Toc20554"/>
      <w:r>
        <w:rPr>
          <w:rFonts w:hint="eastAsia"/>
          <w:b/>
          <w:bCs/>
          <w:color w:val="auto"/>
          <w:sz w:val="24"/>
          <w:highlight w:val="none"/>
        </w:rPr>
        <w:t>五、开启</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bCs/>
          <w:sz w:val="24"/>
          <w:szCs w:val="24"/>
          <w:u w:val="none"/>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日</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分</w:t>
      </w:r>
      <w:r>
        <w:rPr>
          <w:rFonts w:hint="eastAsia" w:ascii="宋体" w:hAnsi="宋体" w:eastAsia="宋体" w:cs="宋体"/>
          <w:bCs/>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szCs w:val="24"/>
        </w:rPr>
        <w:t>地点：</w:t>
      </w:r>
      <w:r>
        <w:rPr>
          <w:rFonts w:hint="eastAsia" w:ascii="宋体" w:hAnsi="宋体" w:eastAsia="宋体" w:cs="宋体"/>
          <w:color w:val="auto"/>
          <w:sz w:val="24"/>
          <w:szCs w:val="24"/>
          <w:highlight w:val="none"/>
          <w:u w:val="single"/>
        </w:rPr>
        <w:t xml:space="preserve">          </w:t>
      </w:r>
    </w:p>
    <w:p>
      <w:pPr>
        <w:spacing w:line="360" w:lineRule="auto"/>
        <w:ind w:firstLine="435"/>
        <w:outlineLvl w:val="1"/>
        <w:rPr>
          <w:rFonts w:hint="eastAsia"/>
          <w:b/>
          <w:bCs/>
          <w:color w:val="auto"/>
          <w:sz w:val="24"/>
          <w:highlight w:val="none"/>
        </w:rPr>
      </w:pPr>
      <w:bookmarkStart w:id="19" w:name="_Toc724"/>
      <w:r>
        <w:rPr>
          <w:rFonts w:hint="eastAsia"/>
          <w:b/>
          <w:bCs/>
          <w:color w:val="auto"/>
          <w:sz w:val="24"/>
          <w:highlight w:val="none"/>
          <w:lang w:val="en-US" w:eastAsia="zh-CN"/>
        </w:rPr>
        <w:t>六</w:t>
      </w:r>
      <w:r>
        <w:rPr>
          <w:rFonts w:hint="eastAsia"/>
          <w:b/>
          <w:bCs/>
          <w:color w:val="auto"/>
          <w:sz w:val="24"/>
          <w:highlight w:val="none"/>
        </w:rPr>
        <w:t>、</w:t>
      </w:r>
      <w:bookmarkEnd w:id="13"/>
      <w:r>
        <w:rPr>
          <w:rFonts w:hint="eastAsia"/>
          <w:b/>
          <w:bCs/>
          <w:color w:val="auto"/>
          <w:sz w:val="24"/>
          <w:highlight w:val="none"/>
        </w:rPr>
        <w:t>公告期限</w:t>
      </w:r>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 w:name="_Toc7722"/>
      <w:r>
        <w:rPr>
          <w:rFonts w:hint="eastAsia" w:ascii="宋体" w:hAnsi="宋体" w:eastAsia="宋体" w:cs="宋体"/>
          <w:sz w:val="24"/>
          <w:szCs w:val="24"/>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21" w:name="_Toc35393795"/>
      <w:bookmarkStart w:id="22" w:name="_Toc35393626"/>
      <w:bookmarkStart w:id="23" w:name="_Toc22869"/>
      <w:r>
        <w:rPr>
          <w:rFonts w:hint="eastAsia"/>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7"/>
        <w:outlineLvl w:val="1"/>
        <w:rPr>
          <w:b/>
          <w:bCs/>
          <w:color w:val="auto"/>
          <w:sz w:val="24"/>
          <w:szCs w:val="18"/>
          <w:highlight w:val="none"/>
        </w:rPr>
      </w:pPr>
      <w:bookmarkStart w:id="24" w:name="_Toc32298"/>
      <w:r>
        <w:rPr>
          <w:rFonts w:hint="eastAsia" w:asciiTheme="minorEastAsia" w:hAnsiTheme="minorEastAsia" w:eastAsiaTheme="minorEastAsia"/>
          <w:b/>
          <w:color w:val="auto"/>
          <w:sz w:val="24"/>
          <w:highlight w:val="none"/>
          <w:lang w:val="en-US" w:eastAsia="zh-CN"/>
        </w:rPr>
        <w:t>八</w:t>
      </w:r>
      <w:r>
        <w:rPr>
          <w:rFonts w:hint="eastAsia" w:asciiTheme="minorEastAsia" w:hAnsiTheme="minorEastAsia" w:eastAsiaTheme="minorEastAsia"/>
          <w:b/>
          <w:color w:val="auto"/>
          <w:sz w:val="24"/>
          <w:highlight w:val="none"/>
        </w:rPr>
        <w:t>、</w:t>
      </w:r>
      <w:bookmarkEnd w:id="20"/>
      <w:r>
        <w:rPr>
          <w:rFonts w:hint="eastAsia" w:ascii="宋体" w:hAnsi="宋体" w:eastAsia="宋体"/>
          <w:b/>
          <w:bCs/>
          <w:color w:val="auto"/>
          <w:sz w:val="24"/>
          <w:szCs w:val="18"/>
          <w:highlight w:val="none"/>
        </w:rPr>
        <w:t>对本次招标提出询问，请按以下方式联系</w:t>
      </w:r>
      <w:bookmarkEnd w:id="24"/>
    </w:p>
    <w:p>
      <w:pPr>
        <w:spacing w:line="360" w:lineRule="auto"/>
        <w:ind w:firstLine="437"/>
        <w:outlineLvl w:val="2"/>
        <w:rPr>
          <w:rFonts w:hint="eastAsia" w:ascii="宋体" w:hAnsi="宋体" w:eastAsia="宋体"/>
          <w:color w:val="auto"/>
          <w:sz w:val="24"/>
          <w:szCs w:val="18"/>
          <w:highlight w:val="none"/>
          <w:lang w:val="en-US" w:eastAsia="zh-CN"/>
        </w:rPr>
      </w:pPr>
      <w:bookmarkStart w:id="25" w:name="_Toc13220"/>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25"/>
    <w:p>
      <w:pPr>
        <w:spacing w:line="360" w:lineRule="auto"/>
        <w:ind w:firstLine="435"/>
        <w:rPr>
          <w:color w:val="auto"/>
          <w:sz w:val="24"/>
          <w:szCs w:val="18"/>
          <w:highlight w:val="none"/>
        </w:rPr>
      </w:pPr>
      <w:r>
        <w:rPr>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6" w:name="_Toc32399"/>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6"/>
    </w:p>
    <w:p>
      <w:pPr>
        <w:spacing w:line="360" w:lineRule="auto"/>
        <w:jc w:val="center"/>
        <w:outlineLvl w:val="1"/>
        <w:rPr>
          <w:rFonts w:asciiTheme="minorEastAsia" w:hAnsiTheme="minorEastAsia" w:eastAsiaTheme="minorEastAsia"/>
          <w:b/>
          <w:color w:val="auto"/>
          <w:sz w:val="24"/>
          <w:highlight w:val="none"/>
        </w:rPr>
      </w:pPr>
      <w:bookmarkStart w:id="27" w:name="_Toc8634"/>
      <w:bookmarkStart w:id="28" w:name="_Toc1456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7"/>
      <w:bookmarkEnd w:id="28"/>
    </w:p>
    <w:p>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3"/>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711"/>
        <w:gridCol w:w="6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77"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56"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5</w:t>
            </w:r>
            <w:r>
              <w:rPr>
                <w:bCs/>
                <w:color w:val="auto"/>
                <w:kern w:val="2"/>
                <w:highlight w:val="none"/>
              </w:rPr>
              <w:t>.3</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现场踏勘</w:t>
            </w:r>
          </w:p>
        </w:tc>
        <w:tc>
          <w:tcPr>
            <w:tcW w:w="3556" w:type="pct"/>
            <w:vAlign w:val="center"/>
          </w:tcPr>
          <w:p>
            <w:pPr>
              <w:spacing w:line="360" w:lineRule="auto"/>
              <w:rPr>
                <w:rFonts w:cs="@仿宋_GB2312"/>
                <w:bCs/>
                <w:color w:val="auto"/>
                <w:kern w:val="2"/>
                <w:sz w:val="24"/>
                <w:highlight w:val="none"/>
              </w:rPr>
            </w:pPr>
            <w:r>
              <w:rPr>
                <w:rFonts w:hint="eastAsia" w:cs="@仿宋_GB2312"/>
                <w:color w:val="auto"/>
                <w:kern w:val="2"/>
                <w:sz w:val="24"/>
                <w:highlight w:val="none"/>
              </w:rPr>
              <w:t>□</w:t>
            </w:r>
            <w:r>
              <w:rPr>
                <w:rFonts w:hint="eastAsia" w:cs="@仿宋_GB2312"/>
                <w:bCs/>
                <w:color w:val="auto"/>
                <w:kern w:val="2"/>
                <w:sz w:val="24"/>
                <w:highlight w:val="none"/>
              </w:rPr>
              <w:t>自行踏勘</w:t>
            </w:r>
          </w:p>
          <w:p>
            <w:pPr>
              <w:spacing w:line="360" w:lineRule="auto"/>
              <w:rPr>
                <w:rFonts w:cs="@仿宋_GB2312"/>
                <w:bCs/>
                <w:color w:val="auto"/>
                <w:kern w:val="2"/>
                <w:sz w:val="24"/>
                <w:highlight w:val="none"/>
              </w:rPr>
            </w:pPr>
            <w:r>
              <w:rPr>
                <w:rFonts w:hint="eastAsia" w:cs="@仿宋_GB2312"/>
                <w:color w:val="auto"/>
                <w:kern w:val="2"/>
                <w:sz w:val="24"/>
                <w:highlight w:val="none"/>
              </w:rPr>
              <w:t>□</w:t>
            </w:r>
            <w:r>
              <w:rPr>
                <w:rFonts w:hint="eastAsia" w:cs="@仿宋_GB2312"/>
                <w:bCs/>
                <w:color w:val="auto"/>
                <w:kern w:val="2"/>
                <w:sz w:val="24"/>
                <w:highlight w:val="none"/>
              </w:rPr>
              <w:t>集中组织</w:t>
            </w:r>
          </w:p>
          <w:p>
            <w:pPr>
              <w:spacing w:line="360" w:lineRule="auto"/>
              <w:rPr>
                <w:rFonts w:cs="@仿宋_GB2312"/>
                <w:bCs/>
                <w:color w:val="auto"/>
                <w:kern w:val="2"/>
                <w:sz w:val="24"/>
                <w:highlight w:val="none"/>
                <w:u w:val="single"/>
              </w:rPr>
            </w:pPr>
            <w:r>
              <w:rPr>
                <w:rFonts w:hint="eastAsia" w:cs="@仿宋_GB2312"/>
                <w:bCs/>
                <w:color w:val="auto"/>
                <w:kern w:val="2"/>
                <w:sz w:val="24"/>
                <w:highlight w:val="none"/>
              </w:rPr>
              <w:t>时间：</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年</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月</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日</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时</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分</w:t>
            </w:r>
          </w:p>
          <w:p>
            <w:pPr>
              <w:spacing w:line="360" w:lineRule="auto"/>
              <w:rPr>
                <w:rFonts w:cs="@仿宋_GB2312"/>
                <w:bCs/>
                <w:color w:val="auto"/>
                <w:kern w:val="2"/>
                <w:sz w:val="24"/>
                <w:highlight w:val="none"/>
                <w:u w:val="single"/>
              </w:rPr>
            </w:pPr>
            <w:r>
              <w:rPr>
                <w:rFonts w:hint="eastAsia" w:cs="@仿宋_GB2312"/>
                <w:bCs/>
                <w:color w:val="auto"/>
                <w:kern w:val="2"/>
                <w:sz w:val="24"/>
                <w:highlight w:val="none"/>
              </w:rPr>
              <w:t>地点：</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p>
          <w:p>
            <w:pPr>
              <w:spacing w:line="360" w:lineRule="auto"/>
              <w:rPr>
                <w:rFonts w:cs="@仿宋_GB2312"/>
                <w:bCs/>
                <w:color w:val="auto"/>
                <w:kern w:val="2"/>
                <w:sz w:val="24"/>
                <w:highlight w:val="none"/>
                <w:u w:val="single"/>
              </w:rPr>
            </w:pPr>
            <w:r>
              <w:rPr>
                <w:rFonts w:hint="eastAsia" w:cs="@仿宋_GB2312"/>
                <w:bCs/>
                <w:color w:val="auto"/>
                <w:kern w:val="2"/>
                <w:sz w:val="24"/>
                <w:highlight w:val="none"/>
              </w:rPr>
              <w:t>现场踏勘联系人及联系电话：</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p>
          <w:p>
            <w:pPr>
              <w:pStyle w:val="66"/>
              <w:widowControl w:val="0"/>
              <w:spacing w:before="0" w:beforeAutospacing="0" w:after="0" w:afterAutospacing="0" w:line="360" w:lineRule="auto"/>
              <w:jc w:val="both"/>
              <w:rPr>
                <w:color w:val="auto"/>
                <w:sz w:val="24"/>
                <w:highlight w:val="none"/>
              </w:rPr>
            </w:pPr>
            <w:r>
              <w:rPr>
                <w:rFonts w:hint="eastAsia" w:cs="@仿宋_GB2312"/>
                <w:bCs w:val="0"/>
                <w:color w:val="auto"/>
                <w:kern w:val="2"/>
                <w:sz w:val="24"/>
                <w:szCs w:val="20"/>
                <w:highlight w:val="none"/>
                <w:lang w:eastAsia="zh-CN"/>
              </w:rPr>
              <w:t>注：</w:t>
            </w:r>
            <w:r>
              <w:rPr>
                <w:rFonts w:hint="eastAsia" w:cs="@仿宋_GB2312"/>
                <w:bCs w:val="0"/>
                <w:color w:val="auto"/>
                <w:kern w:val="2"/>
                <w:sz w:val="24"/>
                <w:szCs w:val="20"/>
                <w:highlight w:val="none"/>
              </w:rPr>
              <w:t>如供应商未参加采购人统一组织的现场踏勘，视同放弃现场踏勘，由此引起的一切责任由供应商自行承担。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b w:val="0"/>
                <w:color w:val="auto"/>
                <w:sz w:val="24"/>
                <w:highlight w:val="none"/>
                <w:u w:val="single"/>
              </w:rPr>
              <w:t xml:space="preserve">  </w:t>
            </w:r>
            <w:r>
              <w:rPr>
                <w:b w:val="0"/>
                <w:color w:val="auto"/>
                <w:sz w:val="24"/>
                <w:highlight w:val="none"/>
              </w:rPr>
              <w:t>时</w:t>
            </w:r>
            <w:r>
              <w:rPr>
                <w:b w:val="0"/>
                <w:color w:val="auto"/>
                <w:sz w:val="24"/>
                <w:highlight w:val="none"/>
                <w:u w:val="single"/>
              </w:rPr>
              <w:t xml:space="preserve">  </w:t>
            </w:r>
            <w:r>
              <w:rPr>
                <w:rFonts w:hint="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bCs w:val="0"/>
                <w:color w:val="auto"/>
                <w:sz w:val="24"/>
                <w:szCs w:val="24"/>
                <w:highlight w:val="none"/>
              </w:rPr>
              <w:t>□</w:t>
            </w:r>
            <w:r>
              <w:rPr>
                <w:b w:val="0"/>
                <w:color w:val="auto"/>
                <w:sz w:val="24"/>
                <w:highlight w:val="none"/>
              </w:rPr>
              <w:t>不分包     □分为  个包</w:t>
            </w:r>
          </w:p>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供应商参加多个包谈判的成交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65" w:type="pct"/>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谈判保证金</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sym w:font="Wingdings" w:char="F0FE"/>
            </w:r>
            <w:r>
              <w:rPr>
                <w:rFonts w:hint="eastAsia"/>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谈判有效期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rPr>
              <w:t xml:space="preserve">    </w:t>
            </w:r>
            <w:r>
              <w:rPr>
                <w:rFonts w:hint="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    </w:t>
            </w:r>
            <w:r>
              <w:rPr>
                <w:rFonts w:hint="eastAsia"/>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sym w:font="Wingdings" w:char="F0FE"/>
            </w:r>
            <w:r>
              <w:rPr>
                <w:rFonts w:hint="eastAsia"/>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pPr>
              <w:pStyle w:val="66"/>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restar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77" w:type="pct"/>
            <w:vMerge w:val="restart"/>
            <w:vAlign w:val="center"/>
          </w:tcPr>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谈判小组推荐成交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66"/>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continue"/>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p>
        </w:tc>
        <w:tc>
          <w:tcPr>
            <w:tcW w:w="977" w:type="pct"/>
            <w:vMerge w:val="continue"/>
            <w:vAlign w:val="center"/>
          </w:tcPr>
          <w:p>
            <w:pPr>
              <w:pStyle w:val="66"/>
              <w:widowControl w:val="0"/>
              <w:spacing w:before="0" w:beforeAutospacing="0" w:after="0" w:afterAutospacing="0" w:line="360" w:lineRule="auto"/>
              <w:jc w:val="both"/>
              <w:rPr>
                <w:b w:val="0"/>
                <w:color w:val="auto"/>
                <w:sz w:val="24"/>
                <w:highlight w:val="none"/>
              </w:rPr>
            </w:pP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color w:val="auto"/>
                <w:sz w:val="24"/>
                <w:szCs w:val="24"/>
                <w:highlight w:val="none"/>
              </w:rPr>
              <w:sym w:font="Wingdings" w:char="00A8"/>
            </w:r>
            <w:r>
              <w:rPr>
                <w:rFonts w:hint="eastAsia"/>
                <w:b w:val="0"/>
                <w:color w:val="auto"/>
                <w:sz w:val="24"/>
                <w:highlight w:val="none"/>
              </w:rPr>
              <w:t xml:space="preserve">采购人委托谈判小组确定 </w:t>
            </w:r>
            <w:r>
              <w:rPr>
                <w:b w:val="0"/>
                <w:color w:val="auto"/>
                <w:sz w:val="24"/>
                <w:highlight w:val="none"/>
              </w:rPr>
              <w:t xml:space="preserve">   </w:t>
            </w:r>
            <w:r>
              <w:rPr>
                <w:rFonts w:hint="eastAsia"/>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随成交结果公告同时公告的成交供应商的响应文件内容</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b w:val="0"/>
                <w:color w:val="auto"/>
                <w:sz w:val="24"/>
                <w:highlight w:val="none"/>
                <w:u w:val="none"/>
                <w:lang w:eastAsia="zh-CN"/>
              </w:rPr>
              <w:t>；</w:t>
            </w:r>
          </w:p>
          <w:p>
            <w:pPr>
              <w:pStyle w:val="66"/>
              <w:widowControl w:val="0"/>
              <w:spacing w:before="0" w:beforeAutospacing="0" w:after="0" w:afterAutospacing="0" w:line="360" w:lineRule="auto"/>
              <w:jc w:val="both"/>
              <w:rPr>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A8"/>
            </w:r>
            <w:r>
              <w:rPr>
                <w:rFonts w:hint="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240" w:lineRule="auto"/>
              <w:textAlignment w:val="auto"/>
              <w:rPr>
                <w:rFonts w:hint="eastAsia" w:ascii="宋体" w:hAnsi="宋体" w:eastAsia="宋体" w:cstheme="minorBidi"/>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w:t>
            </w:r>
            <w:r>
              <w:rPr>
                <w:rFonts w:hint="eastAsia" w:cs="宋体"/>
                <w:b w:val="0"/>
                <w:bCs/>
                <w:color w:val="auto"/>
                <w:sz w:val="24"/>
                <w:szCs w:val="24"/>
                <w:lang w:val="en-US" w:eastAsia="zh-CN"/>
              </w:rPr>
              <w:t>4</w:t>
            </w:r>
            <w:r>
              <w:rPr>
                <w:rFonts w:hint="eastAsia" w:ascii="宋体" w:hAnsi="宋体" w:eastAsia="宋体" w:cs="宋体"/>
                <w:b w:val="0"/>
                <w:bCs/>
                <w:color w:val="auto"/>
                <w:sz w:val="24"/>
                <w:szCs w:val="24"/>
                <w:lang w:val="en-US" w:eastAsia="zh-CN"/>
              </w:rPr>
              <w:t>.1</w:t>
            </w:r>
          </w:p>
        </w:tc>
        <w:tc>
          <w:tcPr>
            <w:tcW w:w="977" w:type="pct"/>
            <w:vAlign w:val="center"/>
          </w:tcPr>
          <w:p>
            <w:pPr>
              <w:pStyle w:val="66"/>
              <w:widowControl w:val="0"/>
              <w:spacing w:before="0" w:beforeAutospacing="0" w:after="0" w:afterAutospacing="0" w:line="360" w:lineRule="auto"/>
              <w:jc w:val="both"/>
              <w:rPr>
                <w:rFonts w:hint="eastAsia" w:ascii="宋体" w:hAnsi="宋体" w:eastAsia="宋体" w:cstheme="minorBidi"/>
                <w:b w:val="0"/>
                <w:bCs/>
                <w:color w:val="auto"/>
                <w:sz w:val="24"/>
                <w:szCs w:val="28"/>
                <w:highlight w:val="none"/>
                <w:lang w:val="en-US" w:eastAsia="zh-CN" w:bidi="ar-SA"/>
              </w:rPr>
            </w:pPr>
            <w:r>
              <w:rPr>
                <w:rFonts w:hint="eastAsia" w:ascii="宋体" w:hAnsi="宋体" w:eastAsia="宋体" w:cs="宋体"/>
                <w:b w:val="0"/>
                <w:bCs/>
                <w:color w:val="auto"/>
                <w:sz w:val="24"/>
                <w:szCs w:val="24"/>
                <w:lang w:val="en-US" w:eastAsia="zh-CN"/>
              </w:rPr>
              <w:t>告知谈判结果的形式</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sym w:font="Wingdings" w:char="00A8"/>
            </w: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56" w:type="pct"/>
          </w:tcPr>
          <w:p>
            <w:pPr>
              <w:spacing w:line="360" w:lineRule="auto"/>
              <w:rPr>
                <w:rFonts w:cs="@仿宋_GB2312"/>
                <w:bCs/>
                <w:color w:val="auto"/>
                <w:sz w:val="24"/>
                <w:szCs w:val="28"/>
                <w:highlight w:val="none"/>
              </w:rPr>
            </w:pPr>
            <w:r>
              <w:rPr>
                <w:rFonts w:hint="eastAsia" w:cs="@仿宋_GB2312"/>
                <w:bCs/>
                <w:color w:val="auto"/>
                <w:sz w:val="24"/>
                <w:szCs w:val="28"/>
                <w:highlight w:val="none"/>
              </w:rPr>
              <w:t>（1）金额：</w:t>
            </w:r>
          </w:p>
          <w:p>
            <w:pPr>
              <w:spacing w:line="360" w:lineRule="auto"/>
              <w:rPr>
                <w:rFonts w:cs="@仿宋_GB2312"/>
                <w:bCs/>
                <w:color w:val="auto"/>
                <w:sz w:val="24"/>
                <w:szCs w:val="28"/>
                <w:highlight w:val="none"/>
              </w:rPr>
            </w:pPr>
            <w:r>
              <w:rPr>
                <w:rFonts w:cs="@仿宋_GB2312"/>
                <w:bCs/>
                <w:color w:val="auto"/>
                <w:sz w:val="24"/>
                <w:szCs w:val="28"/>
                <w:highlight w:val="none"/>
              </w:rPr>
              <w:t>□</w:t>
            </w:r>
            <w:r>
              <w:rPr>
                <w:rFonts w:hint="eastAsia" w:cs="@仿宋_GB2312"/>
                <w:bCs/>
                <w:color w:val="auto"/>
                <w:sz w:val="24"/>
                <w:szCs w:val="28"/>
                <w:highlight w:val="none"/>
              </w:rPr>
              <w:t>免收</w:t>
            </w:r>
          </w:p>
          <w:p>
            <w:pPr>
              <w:spacing w:line="360" w:lineRule="auto"/>
              <w:rPr>
                <w:rFonts w:cs="@仿宋_GB2312"/>
                <w:bCs/>
                <w:color w:val="auto"/>
                <w:sz w:val="24"/>
                <w:szCs w:val="28"/>
                <w:highlight w:val="none"/>
              </w:rPr>
            </w:pPr>
            <w:r>
              <w:rPr>
                <w:rFonts w:cs="@仿宋_GB2312"/>
                <w:bCs/>
                <w:color w:val="auto"/>
                <w:sz w:val="24"/>
                <w:szCs w:val="28"/>
                <w:highlight w:val="none"/>
              </w:rPr>
              <w:t>□</w:t>
            </w:r>
            <w:r>
              <w:rPr>
                <w:rFonts w:hint="eastAsia" w:cs="@仿宋_GB2312"/>
                <w:bCs/>
                <w:color w:val="auto"/>
                <w:sz w:val="24"/>
                <w:szCs w:val="28"/>
                <w:highlight w:val="none"/>
              </w:rPr>
              <w:t>合同价的</w:t>
            </w:r>
            <w:r>
              <w:rPr>
                <w:rFonts w:cs="@仿宋_GB2312"/>
                <w:bCs/>
                <w:color w:val="auto"/>
                <w:sz w:val="24"/>
                <w:szCs w:val="28"/>
                <w:highlight w:val="none"/>
                <w:u w:val="single"/>
              </w:rPr>
              <w:t xml:space="preserve">   </w:t>
            </w:r>
            <w:r>
              <w:rPr>
                <w:rFonts w:cs="@仿宋_GB2312"/>
                <w:bCs/>
                <w:color w:val="auto"/>
                <w:sz w:val="24"/>
                <w:szCs w:val="28"/>
                <w:highlight w:val="none"/>
              </w:rPr>
              <w:t>%</w:t>
            </w:r>
          </w:p>
          <w:p>
            <w:pPr>
              <w:spacing w:line="360" w:lineRule="auto"/>
              <w:rPr>
                <w:rFonts w:cs="@仿宋_GB2312"/>
                <w:bCs/>
                <w:color w:val="auto"/>
                <w:sz w:val="24"/>
                <w:szCs w:val="28"/>
                <w:highlight w:val="none"/>
              </w:rPr>
            </w:pPr>
            <w:r>
              <w:rPr>
                <w:rFonts w:cs="@仿宋_GB2312"/>
                <w:bCs/>
                <w:color w:val="auto"/>
                <w:sz w:val="24"/>
                <w:szCs w:val="28"/>
                <w:highlight w:val="none"/>
              </w:rPr>
              <w:t>□</w:t>
            </w:r>
            <w:r>
              <w:rPr>
                <w:rFonts w:hint="eastAsia" w:cs="@仿宋_GB2312"/>
                <w:bCs/>
                <w:color w:val="auto"/>
                <w:sz w:val="24"/>
                <w:szCs w:val="28"/>
                <w:highlight w:val="none"/>
              </w:rPr>
              <w:t>定额收取：人民币</w:t>
            </w:r>
            <w:r>
              <w:rPr>
                <w:rFonts w:hint="eastAsia" w:cs="@仿宋_GB2312"/>
                <w:bCs/>
                <w:color w:val="auto"/>
                <w:sz w:val="24"/>
                <w:szCs w:val="28"/>
                <w:highlight w:val="none"/>
                <w:u w:val="single"/>
              </w:rPr>
              <w:t xml:space="preserve">              </w:t>
            </w:r>
            <w:r>
              <w:rPr>
                <w:rFonts w:hint="eastAsia" w:cs="@仿宋_GB2312"/>
                <w:bCs/>
                <w:color w:val="auto"/>
                <w:sz w:val="24"/>
                <w:szCs w:val="28"/>
                <w:highlight w:val="none"/>
              </w:rPr>
              <w:t>元</w:t>
            </w:r>
          </w:p>
          <w:p>
            <w:pPr>
              <w:spacing w:line="360" w:lineRule="auto"/>
              <w:rPr>
                <w:rFonts w:cs="@仿宋_GB2312"/>
                <w:bCs/>
                <w:color w:val="auto"/>
                <w:sz w:val="24"/>
                <w:szCs w:val="28"/>
                <w:highlight w:val="none"/>
              </w:rPr>
            </w:pPr>
            <w:r>
              <w:rPr>
                <w:rFonts w:hint="eastAsia" w:cs="@仿宋_GB2312"/>
                <w:bCs/>
                <w:color w:val="auto"/>
                <w:sz w:val="24"/>
                <w:szCs w:val="28"/>
                <w:highlight w:val="none"/>
              </w:rPr>
              <w:t>（2）支付方式：</w:t>
            </w:r>
          </w:p>
          <w:p>
            <w:pPr>
              <w:spacing w:line="360" w:lineRule="auto"/>
              <w:rPr>
                <w:rFonts w:cs="@仿宋_GB2312"/>
                <w:bCs/>
                <w:color w:val="auto"/>
                <w:sz w:val="24"/>
                <w:szCs w:val="28"/>
                <w:highlight w:val="none"/>
              </w:rPr>
            </w:pPr>
            <w:r>
              <w:rPr>
                <w:rFonts w:hint="eastAsia" w:cs="@仿宋_GB2312"/>
                <w:bCs/>
                <w:color w:val="auto"/>
                <w:sz w:val="24"/>
                <w:szCs w:val="28"/>
                <w:highlight w:val="none"/>
              </w:rPr>
              <w:sym w:font="Wingdings" w:char="00A8"/>
            </w:r>
            <w:r>
              <w:rPr>
                <w:rFonts w:cs="@仿宋_GB2312"/>
                <w:bCs/>
                <w:color w:val="auto"/>
                <w:sz w:val="24"/>
                <w:szCs w:val="28"/>
                <w:highlight w:val="none"/>
              </w:rPr>
              <w:t>转账/电汇</w:t>
            </w:r>
            <w:r>
              <w:rPr>
                <w:rFonts w:hint="eastAsia" w:cs="@仿宋_GB2312"/>
                <w:bCs/>
                <w:color w:val="auto"/>
                <w:sz w:val="24"/>
                <w:szCs w:val="28"/>
                <w:highlight w:val="none"/>
              </w:rPr>
              <w:t xml:space="preserve"> </w:t>
            </w:r>
            <w:r>
              <w:rPr>
                <w:rFonts w:hint="eastAsia" w:cs="@仿宋_GB2312"/>
                <w:bCs/>
                <w:color w:val="auto"/>
                <w:sz w:val="24"/>
                <w:szCs w:val="28"/>
                <w:highlight w:val="none"/>
              </w:rPr>
              <w:sym w:font="Wingdings" w:char="00A8"/>
            </w:r>
            <w:r>
              <w:rPr>
                <w:rFonts w:cs="@仿宋_GB2312"/>
                <w:bCs/>
                <w:color w:val="auto"/>
                <w:sz w:val="24"/>
                <w:szCs w:val="28"/>
                <w:highlight w:val="none"/>
              </w:rPr>
              <w:t xml:space="preserve">支票 </w:t>
            </w:r>
            <w:r>
              <w:rPr>
                <w:rFonts w:hint="eastAsia" w:cs="@仿宋_GB2312"/>
                <w:bCs/>
                <w:color w:val="auto"/>
                <w:sz w:val="24"/>
                <w:szCs w:val="28"/>
                <w:highlight w:val="none"/>
              </w:rPr>
              <w:sym w:font="Wingdings" w:char="00A8"/>
            </w:r>
            <w:r>
              <w:rPr>
                <w:rFonts w:cs="@仿宋_GB2312"/>
                <w:bCs/>
                <w:color w:val="auto"/>
                <w:sz w:val="24"/>
                <w:szCs w:val="28"/>
                <w:highlight w:val="none"/>
              </w:rPr>
              <w:t>汇票</w:t>
            </w:r>
            <w:r>
              <w:rPr>
                <w:rFonts w:hint="eastAsia" w:cs="@仿宋_GB2312"/>
                <w:bCs/>
                <w:color w:val="auto"/>
                <w:sz w:val="24"/>
                <w:szCs w:val="28"/>
                <w:highlight w:val="none"/>
              </w:rPr>
              <w:t xml:space="preserve"> </w:t>
            </w:r>
            <w:r>
              <w:rPr>
                <w:rFonts w:hint="eastAsia" w:cs="@仿宋_GB2312"/>
                <w:bCs/>
                <w:color w:val="auto"/>
                <w:sz w:val="24"/>
                <w:szCs w:val="28"/>
                <w:highlight w:val="none"/>
              </w:rPr>
              <w:sym w:font="Wingdings" w:char="00A8"/>
            </w:r>
            <w:r>
              <w:rPr>
                <w:rFonts w:hint="eastAsia" w:cs="@仿宋_GB2312"/>
                <w:bCs/>
                <w:color w:val="auto"/>
                <w:sz w:val="24"/>
                <w:szCs w:val="28"/>
                <w:highlight w:val="none"/>
              </w:rPr>
              <w:t xml:space="preserve">本票 </w:t>
            </w:r>
            <w:r>
              <w:rPr>
                <w:rFonts w:hint="eastAsia" w:cs="@仿宋_GB2312"/>
                <w:bCs/>
                <w:color w:val="auto"/>
                <w:sz w:val="24"/>
                <w:szCs w:val="28"/>
                <w:highlight w:val="none"/>
              </w:rPr>
              <w:sym w:font="Wingdings" w:char="00A8"/>
            </w:r>
            <w:r>
              <w:rPr>
                <w:rFonts w:cs="@仿宋_GB2312"/>
                <w:bCs/>
                <w:color w:val="auto"/>
                <w:sz w:val="24"/>
                <w:szCs w:val="28"/>
                <w:highlight w:val="none"/>
              </w:rPr>
              <w:t>保</w:t>
            </w:r>
            <w:r>
              <w:rPr>
                <w:rFonts w:hint="eastAsia" w:cs="@仿宋_GB2312"/>
                <w:bCs/>
                <w:color w:val="auto"/>
                <w:sz w:val="24"/>
                <w:szCs w:val="28"/>
                <w:highlight w:val="none"/>
              </w:rPr>
              <w:t xml:space="preserve">险 </w:t>
            </w:r>
            <w:r>
              <w:rPr>
                <w:rFonts w:hint="eastAsia" w:cs="@仿宋_GB2312"/>
                <w:bCs/>
                <w:color w:val="auto"/>
                <w:sz w:val="24"/>
                <w:szCs w:val="28"/>
                <w:highlight w:val="none"/>
              </w:rPr>
              <w:sym w:font="Wingdings" w:char="00A8"/>
            </w:r>
            <w:r>
              <w:rPr>
                <w:rFonts w:hint="eastAsia" w:cs="@仿宋_GB2312"/>
                <w:bCs/>
                <w:color w:val="auto"/>
                <w:sz w:val="24"/>
                <w:szCs w:val="28"/>
                <w:highlight w:val="none"/>
              </w:rPr>
              <w:t>保</w:t>
            </w:r>
            <w:r>
              <w:rPr>
                <w:rFonts w:cs="@仿宋_GB2312"/>
                <w:bCs/>
                <w:color w:val="auto"/>
                <w:sz w:val="24"/>
                <w:szCs w:val="28"/>
                <w:highlight w:val="none"/>
              </w:rPr>
              <w:t>函</w:t>
            </w:r>
          </w:p>
          <w:p>
            <w:pPr>
              <w:spacing w:line="360" w:lineRule="auto"/>
              <w:rPr>
                <w:rFonts w:cs="@仿宋_GB2312"/>
                <w:bCs/>
                <w:color w:val="auto"/>
                <w:sz w:val="24"/>
                <w:szCs w:val="28"/>
                <w:highlight w:val="none"/>
                <w:u w:val="single"/>
              </w:rPr>
            </w:pPr>
            <w:r>
              <w:rPr>
                <w:rFonts w:hint="eastAsia" w:cs="@仿宋_GB2312"/>
                <w:bCs/>
                <w:color w:val="auto"/>
                <w:sz w:val="24"/>
                <w:szCs w:val="28"/>
                <w:highlight w:val="none"/>
              </w:rPr>
              <w:t>（3）收取单位：</w:t>
            </w:r>
            <w:r>
              <w:rPr>
                <w:rFonts w:hint="eastAsia" w:ascii="宋体" w:hAnsi="宋体" w:eastAsia="宋体"/>
                <w:bCs/>
                <w:color w:val="auto"/>
                <w:kern w:val="0"/>
                <w:sz w:val="24"/>
                <w:szCs w:val="28"/>
                <w:highlight w:val="none"/>
                <w:u w:val="single"/>
              </w:rPr>
              <w:t xml:space="preserve">              </w:t>
            </w:r>
          </w:p>
          <w:p>
            <w:pPr>
              <w:spacing w:line="360" w:lineRule="auto"/>
              <w:rPr>
                <w:rFonts w:cs="@仿宋_GB2312"/>
                <w:color w:val="auto"/>
                <w:sz w:val="24"/>
                <w:highlight w:val="none"/>
              </w:rPr>
            </w:pPr>
            <w:r>
              <w:rPr>
                <w:rFonts w:hint="eastAsia" w:cs="@仿宋_GB2312"/>
                <w:bCs/>
                <w:color w:val="auto"/>
                <w:sz w:val="24"/>
                <w:szCs w:val="28"/>
                <w:highlight w:val="none"/>
              </w:rPr>
              <w:t>（4）</w:t>
            </w:r>
            <w:r>
              <w:rPr>
                <w:rFonts w:hint="eastAsia" w:cs="@仿宋_GB2312"/>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cs="@仿宋_GB2312"/>
                <w:b/>
                <w:bCs/>
                <w:color w:val="auto"/>
                <w:sz w:val="24"/>
                <w:szCs w:val="24"/>
                <w:highlight w:val="none"/>
              </w:rPr>
            </w:pPr>
            <w:r>
              <w:rPr>
                <w:rFonts w:hint="eastAsia" w:cs="@仿宋_GB2312"/>
                <w:b/>
                <w:bCs/>
                <w:color w:val="auto"/>
                <w:sz w:val="24"/>
                <w:szCs w:val="24"/>
                <w:highlight w:val="none"/>
              </w:rPr>
              <w:t>注意事项：</w:t>
            </w:r>
          </w:p>
          <w:p>
            <w:pPr>
              <w:spacing w:line="360" w:lineRule="auto"/>
              <w:rPr>
                <w:rFonts w:cs="@仿宋_GB2312"/>
                <w:b/>
                <w:bCs/>
                <w:color w:val="auto"/>
                <w:sz w:val="24"/>
                <w:szCs w:val="24"/>
                <w:highlight w:val="none"/>
              </w:rPr>
            </w:pPr>
            <w:r>
              <w:rPr>
                <w:rFonts w:hint="eastAsia" w:cs="@仿宋_GB2312"/>
                <w:b/>
                <w:bCs/>
                <w:color w:val="auto"/>
                <w:sz w:val="24"/>
                <w:szCs w:val="24"/>
                <w:highlight w:val="none"/>
              </w:rPr>
              <w:t>（1）以上各类机构出具的以担保函、保证保险承担责任的方式均须满足无条件见索即付条件。</w:t>
            </w:r>
          </w:p>
          <w:p>
            <w:pPr>
              <w:pStyle w:val="66"/>
              <w:widowControl w:val="0"/>
              <w:spacing w:before="0" w:beforeAutospacing="0" w:after="0" w:afterAutospacing="0" w:line="360" w:lineRule="auto"/>
              <w:jc w:val="both"/>
              <w:rPr>
                <w:color w:val="auto"/>
                <w:sz w:val="24"/>
                <w:highlight w:val="none"/>
              </w:rPr>
            </w:pPr>
            <w:r>
              <w:rPr>
                <w:rFonts w:hint="eastAsia" w:cs="@仿宋_GB2312"/>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lang w:val="en-US" w:eastAsia="zh-CN"/>
              </w:rPr>
              <w:t>代理费用</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bCs/>
                <w:color w:val="auto"/>
                <w:kern w:val="0"/>
                <w:sz w:val="24"/>
                <w:szCs w:val="28"/>
                <w:highlight w:val="none"/>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6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bCs/>
                <w:color w:val="auto"/>
                <w:sz w:val="24"/>
                <w:szCs w:val="28"/>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77" w:type="pct"/>
            <w:vAlign w:val="center"/>
          </w:tcPr>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3</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□施工总承包  □专业承包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□工程量清单综合单价报价法</w:t>
            </w:r>
          </w:p>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b w:val="0"/>
                <w:color w:val="auto"/>
                <w:sz w:val="24"/>
                <w:highlight w:val="none"/>
                <w:u w:val="single"/>
              </w:rPr>
              <w:t xml:space="preserve">        </w:t>
            </w:r>
            <w:r>
              <w:rPr>
                <w:b w:val="0"/>
                <w:color w:val="auto"/>
                <w:sz w:val="24"/>
                <w:highlight w:val="none"/>
              </w:rPr>
              <w:t>日历天</w:t>
            </w:r>
          </w:p>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9" w:name="EB2a2e1a22d449405a860670c095486ab8"/>
            <w:r>
              <w:rPr>
                <w:rFonts w:hint="eastAsia"/>
                <w:b w:val="0"/>
                <w:color w:val="auto"/>
                <w:sz w:val="24"/>
                <w:highlight w:val="none"/>
              </w:rPr>
              <w:t>具体开工时间以开工令为准。</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质量标准要求</w:t>
            </w:r>
          </w:p>
        </w:tc>
        <w:tc>
          <w:tcPr>
            <w:tcW w:w="3556" w:type="pct"/>
            <w:vAlign w:val="center"/>
          </w:tcPr>
          <w:p>
            <w:pPr>
              <w:pStyle w:val="93"/>
              <w:tabs>
                <w:tab w:val="left" w:pos="1152"/>
              </w:tabs>
              <w:spacing w:before="0" w:beforeAutospacing="0" w:after="0" w:afterAutospacing="0" w:line="360" w:lineRule="auto"/>
              <w:rPr>
                <w:b/>
                <w:color w:val="auto"/>
                <w:highlight w:val="none"/>
              </w:rPr>
            </w:pPr>
            <w:r>
              <w:rPr>
                <w:rFonts w:hint="eastAsia" w:cs="@仿宋_GB2312"/>
                <w:bCs/>
                <w:color w:val="auto"/>
                <w:szCs w:val="28"/>
                <w:highlight w:val="none"/>
              </w:rPr>
              <w:t>质量标准：合格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必须确保安全文明施工，符合国家和项目所在地现行相关规定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56" w:type="pct"/>
            <w:vAlign w:val="center"/>
          </w:tcPr>
          <w:p>
            <w:pPr>
              <w:spacing w:line="360" w:lineRule="auto"/>
              <w:rPr>
                <w:rFonts w:ascii="Calibri" w:hAnsi="Calibri" w:cs="Times New Roman"/>
                <w:b/>
                <w:bCs/>
                <w:color w:val="auto"/>
                <w:kern w:val="2"/>
                <w:sz w:val="24"/>
                <w:szCs w:val="28"/>
                <w:highlight w:val="none"/>
              </w:rPr>
            </w:pPr>
            <w:r>
              <w:rPr>
                <w:rFonts w:hint="eastAsia" w:ascii="Calibri" w:hAnsi="Calibri" w:cs="Times New Roman"/>
                <w:b/>
                <w:bCs/>
                <w:color w:val="auto"/>
                <w:kern w:val="2"/>
                <w:sz w:val="24"/>
                <w:szCs w:val="28"/>
                <w:highlight w:val="none"/>
              </w:rPr>
              <w:t>供应商不得在成交后将工程转包给其它施工单位。</w:t>
            </w:r>
          </w:p>
          <w:p>
            <w:pPr>
              <w:spacing w:line="360" w:lineRule="auto"/>
              <w:jc w:val="left"/>
              <w:rPr>
                <w:rFonts w:cs="Times New Roman"/>
                <w:b/>
                <w:color w:val="auto"/>
                <w:kern w:val="2"/>
                <w:sz w:val="24"/>
                <w:szCs w:val="22"/>
                <w:highlight w:val="none"/>
              </w:rPr>
            </w:pPr>
            <w:r>
              <w:rPr>
                <w:rFonts w:hint="eastAsia" w:cs="Times New Roman"/>
                <w:b/>
                <w:color w:val="auto"/>
                <w:kern w:val="2"/>
                <w:sz w:val="24"/>
                <w:szCs w:val="22"/>
                <w:highlight w:val="none"/>
              </w:rPr>
              <w:t>分包情况</w:t>
            </w:r>
          </w:p>
          <w:p>
            <w:pPr>
              <w:spacing w:line="360" w:lineRule="auto"/>
              <w:jc w:val="left"/>
              <w:rPr>
                <w:rFonts w:cs="Times New Roman"/>
                <w:color w:val="auto"/>
                <w:kern w:val="2"/>
                <w:sz w:val="24"/>
                <w:szCs w:val="22"/>
                <w:highlight w:val="none"/>
              </w:rPr>
            </w:pPr>
            <w:r>
              <w:rPr>
                <w:rFonts w:hint="eastAsia" w:cs="Times New Roman"/>
                <w:color w:val="auto"/>
                <w:kern w:val="2"/>
                <w:sz w:val="24"/>
                <w:szCs w:val="22"/>
                <w:highlight w:val="none"/>
              </w:rPr>
              <w:t>□允许专业分包，</w:t>
            </w:r>
            <w:r>
              <w:rPr>
                <w:rFonts w:hint="eastAsia" w:ascii="Calibri" w:hAnsi="Calibri" w:cs="Times New Roman"/>
                <w:color w:val="auto"/>
                <w:kern w:val="2"/>
                <w:sz w:val="24"/>
                <w:szCs w:val="22"/>
                <w:highlight w:val="none"/>
              </w:rPr>
              <w:t>分包项目、内容及分包商须经采购人及监理单位同意和认可</w:t>
            </w:r>
          </w:p>
          <w:p>
            <w:pPr>
              <w:pStyle w:val="66"/>
              <w:widowControl w:val="0"/>
              <w:spacing w:before="0" w:beforeAutospacing="0" w:after="0" w:afterAutospacing="0" w:line="360" w:lineRule="auto"/>
              <w:jc w:val="both"/>
              <w:rPr>
                <w:b w:val="0"/>
                <w:color w:val="auto"/>
                <w:sz w:val="24"/>
                <w:highlight w:val="none"/>
              </w:rPr>
            </w:pPr>
            <w:r>
              <w:rPr>
                <w:rFonts w:hint="eastAsia" w:cs="Times New Roman"/>
                <w:b w:val="0"/>
                <w:bCs w:val="0"/>
                <w:color w:val="auto"/>
                <w:kern w:val="2"/>
                <w:sz w:val="24"/>
                <w:szCs w:val="22"/>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具备开工条件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56" w:type="pct"/>
            <w:vAlign w:val="center"/>
          </w:tcPr>
          <w:p>
            <w:pPr>
              <w:adjustRightInd w:val="0"/>
              <w:snapToGrid w:val="0"/>
              <w:spacing w:line="360" w:lineRule="auto"/>
              <w:jc w:val="left"/>
              <w:rPr>
                <w:bCs/>
                <w:color w:val="auto"/>
                <w:sz w:val="24"/>
                <w:szCs w:val="28"/>
                <w:highlight w:val="none"/>
              </w:rPr>
            </w:pPr>
            <w:r>
              <w:rPr>
                <w:rFonts w:hint="eastAsia"/>
                <w:bCs/>
                <w:color w:val="auto"/>
                <w:sz w:val="24"/>
                <w:szCs w:val="28"/>
                <w:highlight w:val="none"/>
              </w:rPr>
              <w:t>□谈判文件</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□工程量清单</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□最高投标限价</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□电子版图纸</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上述资料请供应商在获取谈判文件后，自行登录电子交易系统下载本项目附件。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highlight w:val="none"/>
              </w:rPr>
              <w:t>：</w:t>
            </w:r>
            <w:r>
              <w:rPr>
                <w:rFonts w:ascii="宋体" w:hAnsi="宋体" w:eastAsia="宋体" w:cs="宋体"/>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highlight w:val="none"/>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56" w:type="pct"/>
            <w:vAlign w:val="center"/>
          </w:tcPr>
          <w:p>
            <w:pPr>
              <w:numPr>
                <w:ilvl w:val="0"/>
                <w:numId w:val="0"/>
              </w:numPr>
              <w:spacing w:line="360" w:lineRule="auto"/>
              <w:rPr>
                <w:rFonts w:hint="eastAsia"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pPr>
              <w:pStyle w:val="66"/>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lang w:val="en-US" w:eastAsia="zh-CN"/>
              </w:rPr>
              <w:t>2、</w:t>
            </w:r>
            <w:r>
              <w:rPr>
                <w:rFonts w:hint="eastAsia"/>
                <w:b w:val="0"/>
                <w:color w:val="auto"/>
                <w:sz w:val="24"/>
                <w:highlight w:val="none"/>
              </w:rPr>
              <w:t>“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0" w:name="_Toc19323"/>
      <w:bookmarkStart w:id="31" w:name="_Toc32464"/>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30"/>
      <w:bookmarkEnd w:id="3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.2采购代理机构：是指集中采购机构或从事采购代理业务的社会中介机构。</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：是指向采购人提供货物、工程或者服务的法人、非法人组织或者自然人。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谈判</w:t>
      </w:r>
      <w:r>
        <w:rPr>
          <w:color w:val="auto"/>
          <w:sz w:val="24"/>
          <w:highlight w:val="none"/>
        </w:rPr>
        <w:t>文件。</w:t>
      </w:r>
    </w:p>
    <w:p>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若竞争性谈判公告</w:t>
      </w:r>
      <w:r>
        <w:rPr>
          <w:bCs/>
          <w:color w:val="auto"/>
          <w:sz w:val="24"/>
          <w:szCs w:val="28"/>
          <w:highlight w:val="none"/>
        </w:rPr>
        <w:t>中允许联合体</w:t>
      </w:r>
      <w:r>
        <w:rPr>
          <w:rFonts w:hint="eastAsia"/>
          <w:bCs/>
          <w:color w:val="auto"/>
          <w:sz w:val="24"/>
          <w:szCs w:val="28"/>
          <w:highlight w:val="none"/>
        </w:rPr>
        <w:t>参加谈判</w:t>
      </w:r>
      <w:r>
        <w:rPr>
          <w:bCs/>
          <w:color w:val="auto"/>
          <w:sz w:val="24"/>
          <w:szCs w:val="28"/>
          <w:highlight w:val="none"/>
        </w:rPr>
        <w:t>，对联合体规定如下：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两个以上供应商可以组成一个谈判联合体，以一个供应商的身份谈判</w:t>
      </w:r>
      <w:r>
        <w:rPr>
          <w:color w:val="auto"/>
          <w:sz w:val="24"/>
          <w:highlight w:val="none"/>
        </w:rPr>
        <w:t>。</w:t>
      </w:r>
      <w:r>
        <w:rPr>
          <w:b w:val="0"/>
          <w:sz w:val="24"/>
        </w:rPr>
        <w:t>联合体参加谈判的，</w:t>
      </w:r>
      <w:r>
        <w:rPr>
          <w:rFonts w:hint="eastAsia"/>
          <w:b w:val="0"/>
          <w:sz w:val="24"/>
        </w:rPr>
        <w:t>谈判文件获取</w:t>
      </w:r>
      <w:r>
        <w:rPr>
          <w:b w:val="0"/>
          <w:sz w:val="24"/>
        </w:rPr>
        <w:t>手续由联合体</w:t>
      </w:r>
      <w:r>
        <w:rPr>
          <w:rFonts w:hint="eastAsia"/>
          <w:b w:val="0"/>
          <w:sz w:val="24"/>
        </w:rPr>
        <w:t>中</w:t>
      </w:r>
      <w:r>
        <w:rPr>
          <w:b w:val="0"/>
          <w:sz w:val="24"/>
        </w:rPr>
        <w:t>任一</w:t>
      </w:r>
      <w:r>
        <w:rPr>
          <w:rFonts w:hint="eastAsia"/>
          <w:b w:val="0"/>
          <w:sz w:val="24"/>
        </w:rPr>
        <w:t>成员单位</w:t>
      </w:r>
      <w:r>
        <w:rPr>
          <w:b w:val="0"/>
          <w:sz w:val="24"/>
        </w:rPr>
        <w:t>办理均可。</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谈判</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谈判</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.8对联合体参加谈判的其他资格要求见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7"/>
        <w:rPr>
          <w:color w:val="auto"/>
          <w:sz w:val="24"/>
          <w:highlight w:val="none"/>
        </w:rPr>
      </w:pPr>
      <w:r>
        <w:rPr>
          <w:rFonts w:hint="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踏勘</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2采购人可主动或在解答供应商提出的问题时对谈判文件进行澄清或者修改。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32" w:name="_Hlk16458572"/>
      <w:r>
        <w:rPr>
          <w:rFonts w:hint="eastAsia"/>
          <w:color w:val="auto"/>
          <w:sz w:val="24"/>
          <w:szCs w:val="18"/>
          <w:highlight w:val="none"/>
        </w:rPr>
        <w:t>安徽省政府采购网</w:t>
      </w:r>
      <w:bookmarkEnd w:id="32"/>
      <w:r>
        <w:rPr>
          <w:rFonts w:hint="eastAsia" w:asciiTheme="minorEastAsia" w:hAnsiTheme="minorEastAsia" w:eastAsiaTheme="minorEastAsia"/>
          <w:color w:val="auto"/>
          <w:sz w:val="24"/>
          <w:highlight w:val="none"/>
        </w:rPr>
        <w:t>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的谈判</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无论谈判文件中是否要求，供应商所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他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.1供应商应完整地按谈判文件提供的响应文件格式及要求编写响应文件，具体内容详见第六章响应文件格式的相关内容。</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.2</w:t>
      </w:r>
      <w:r>
        <w:rPr>
          <w:rFonts w:hint="eastAsia"/>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33" w:name="_Hlk11703583"/>
      <w:r>
        <w:rPr>
          <w:rFonts w:hint="eastAsia" w:asciiTheme="minorEastAsia" w:hAnsiTheme="minorEastAsia" w:eastAsiaTheme="minorEastAsia"/>
          <w:color w:val="auto"/>
          <w:sz w:val="24"/>
          <w:highlight w:val="none"/>
        </w:rPr>
        <w:t>。</w:t>
      </w:r>
    </w:p>
    <w:bookmarkEnd w:id="33"/>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最后报价均不得高于谈判文件（公告）列明的项目预算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0</w:t>
      </w:r>
      <w:r>
        <w:rPr>
          <w:rFonts w:hint="eastAsia" w:cs="@仿宋_GB2312" w:asciiTheme="minorEastAsia" w:hAnsiTheme="minorEastAsia" w:eastAsiaTheme="minorEastAsia"/>
          <w:color w:val="auto"/>
          <w:kern w:val="2"/>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asciiTheme="minorEastAsia" w:hAnsiTheme="minorEastAsia" w:eastAsiaTheme="minorEastAsia"/>
          <w:b/>
          <w:color w:val="auto"/>
          <w:sz w:val="24"/>
          <w:highlight w:val="none"/>
        </w:rPr>
        <w:t>8.</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4</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竞争性谈判公告</w:t>
      </w:r>
      <w:r>
        <w:rPr>
          <w:rFonts w:hint="eastAsia" w:cs="@仿宋_GB2312" w:asciiTheme="minorEastAsia" w:hAnsiTheme="minorEastAsia" w:eastAsiaTheme="minorEastAsia"/>
          <w:color w:val="auto"/>
          <w:kern w:val="2"/>
          <w:sz w:val="24"/>
          <w:highlight w:val="none"/>
        </w:rPr>
        <w:t>规定的时间和地点组织谈判。</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4</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rPr>
        <w:t>2竞争性谈判采用最低评标价法评审。</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最低评标价法，是指响应文件满足谈判文件全部实质性要求且最后报价最低的供应商为成交候选人的评审办法。</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rPr>
        <w:t>1</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.3谈判小组将按照谈判文件规定的评审办法和</w:t>
      </w:r>
      <w:r>
        <w:rPr>
          <w:rFonts w:cs="@仿宋_GB2312" w:asciiTheme="minorEastAsia" w:hAnsiTheme="minorEastAsia" w:eastAsiaTheme="minorEastAsia"/>
          <w:color w:val="auto"/>
          <w:kern w:val="2"/>
          <w:sz w:val="24"/>
          <w:highlight w:val="none"/>
        </w:rPr>
        <w:t>标准</w:t>
      </w:r>
      <w:r>
        <w:rPr>
          <w:rFonts w:hint="eastAsia" w:cs="@仿宋_GB2312" w:asciiTheme="minorEastAsia" w:hAnsiTheme="minorEastAsia" w:eastAsiaTheme="minorEastAsia"/>
          <w:color w:val="auto"/>
          <w:kern w:val="2"/>
          <w:sz w:val="24"/>
          <w:highlight w:val="none"/>
        </w:rPr>
        <w:t>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谈判</w:t>
      </w:r>
      <w:r>
        <w:rPr>
          <w:rFonts w:hint="eastAsia" w:asciiTheme="minorEastAsia" w:hAnsiTheme="minorEastAsia" w:eastAsiaTheme="minorEastAsia"/>
          <w:color w:val="auto"/>
          <w:sz w:val="24"/>
          <w:highlight w:val="none"/>
        </w:rPr>
        <w:t>。初审合格后，谈判小组将按网上加密电子响应文件提交顺序集中与单一供应商分别进行谈判，并给予所有参加谈判的供应商平等的谈判机会。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asciiTheme="minorEastAsia" w:hAnsiTheme="minorEastAsia" w:eastAsiaTheme="minorEastAsia"/>
          <w:b/>
          <w:color w:val="auto"/>
          <w:sz w:val="24"/>
          <w:highlight w:val="none"/>
        </w:rPr>
        <w:t>响应无效。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pPr>
        <w:spacing w:line="360" w:lineRule="auto"/>
        <w:ind w:firstLine="435"/>
        <w:rPr>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4"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cs="@仿宋_GB2312"/>
          <w:color w:val="auto"/>
          <w:kern w:val="2"/>
          <w:sz w:val="24"/>
          <w:szCs w:val="22"/>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34"/>
      <w:r>
        <w:rPr>
          <w:rFonts w:hint="eastAsia" w:cs="@仿宋_GB2312"/>
          <w:color w:val="auto"/>
          <w:kern w:val="2"/>
          <w:sz w:val="24"/>
          <w:szCs w:val="22"/>
          <w:highlight w:val="none"/>
        </w:rPr>
        <w:t xml:space="preserve"> </w:t>
      </w:r>
    </w:p>
    <w:p>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供应商应当按照企业定额或项目所在地最新建设工程计价依据以及材料市场价格信息等，结合自身实力、施工经验、现场环境以及谈判文件的要求自主报价。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谈判文件予以澄清、修改，否则供应商应按采购人提供的工程量清单中列出的工程项目和工程量逐项填报综合单价和合价。供应商不得在工程量清单中任意增删、修改清单项目与工程量及项目排列顺序。</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谈判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谈判报价的情况，任何因忽视或误解施工场地情况而导致的索赔或工期延长申请将不被批准。对于受施工现场场地限制，如需要另外寻找场地解决临时住宿、材料及设备堆放，由此所产生的费用应包含在谈判报价范围内，采购人不再承担该费用。</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.1本工程确定成交供应商后，工程总造价在谈判范围内包定，除经批准的设计变更、经济签证外，其它工程造价增减均不予签证计价。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谈判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rPr>
        <w:t>4供应商在规定时间内未对工程量清单提出疑问的，成交后，采购人不再对工程量清单的项目和数量进行校对调整。供应商必须按其报价完成竞争性谈判文件规定范围内的设计图纸规定的所有工程项目。</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w:t>
      </w:r>
      <w:r>
        <w:rPr>
          <w:rFonts w:asciiTheme="minorEastAsia" w:hAnsiTheme="minorEastAsia" w:eastAsiaTheme="minorEastAsia"/>
          <w:color w:val="auto"/>
          <w:sz w:val="24"/>
          <w:highlight w:val="none"/>
        </w:rPr>
        <w:t>标准，</w:t>
      </w:r>
      <w:r>
        <w:rPr>
          <w:rFonts w:hint="eastAsia" w:asciiTheme="minorEastAsia" w:hAnsiTheme="minorEastAsia" w:eastAsiaTheme="minorEastAsia"/>
          <w:color w:val="auto"/>
          <w:sz w:val="24"/>
          <w:highlight w:val="none"/>
        </w:rPr>
        <w:t>按照最后报价由低到高的顺序依次推荐成交候选人。最后报价相同的，</w:t>
      </w:r>
      <w:r>
        <w:rPr>
          <w:rFonts w:asciiTheme="minorEastAsia" w:hAnsiTheme="minorEastAsia" w:eastAsiaTheme="minorEastAsia"/>
          <w:color w:val="auto"/>
          <w:sz w:val="24"/>
          <w:highlight w:val="none"/>
        </w:rPr>
        <w:t>则</w:t>
      </w:r>
      <w:r>
        <w:rPr>
          <w:rFonts w:hint="eastAsia" w:asciiTheme="minorEastAsia" w:hAnsiTheme="minorEastAsia" w:eastAsiaTheme="minorEastAsia"/>
          <w:color w:val="auto"/>
          <w:sz w:val="24"/>
          <w:highlight w:val="none"/>
        </w:rPr>
        <w:t>由谈判小组采取随机抽取方式确定。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color w:val="auto"/>
          <w:sz w:val="24"/>
          <w:highlight w:val="none"/>
        </w:rPr>
      </w:pPr>
      <w:r>
        <w:rPr>
          <w:rFonts w:hint="eastAsia"/>
          <w:color w:val="auto"/>
          <w:sz w:val="24"/>
          <w:highlight w:val="none"/>
          <w:lang w:val="en-US" w:eastAsia="zh-CN"/>
        </w:rPr>
        <w:t>19</w:t>
      </w:r>
      <w:r>
        <w:rPr>
          <w:rFonts w:hint="eastAsia"/>
          <w:color w:val="auto"/>
          <w:sz w:val="24"/>
          <w:highlight w:val="none"/>
        </w:rPr>
        <w:t>.1谈判小组按照最后报价由低到高的顺序和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确定成交候选人，并标明排列顺序。排名第一的成交候选人经采购人或采购人授权的谈判小组确定为成交供应商后，由</w:t>
      </w:r>
      <w:r>
        <w:rPr>
          <w:rFonts w:asciiTheme="minorEastAsia" w:hAnsiTheme="minorEastAsia" w:eastAsiaTheme="minorEastAsia"/>
          <w:color w:val="auto"/>
          <w:sz w:val="24"/>
          <w:highlight w:val="none"/>
        </w:rPr>
        <w:t>采购代理机构</w:t>
      </w:r>
      <w:r>
        <w:rPr>
          <w:rFonts w:hint="eastAsia"/>
          <w:color w:val="auto"/>
          <w:sz w:val="24"/>
          <w:highlight w:val="none"/>
        </w:rPr>
        <w:t>在指定媒体上予以公告。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b/>
          <w:color w:val="auto"/>
          <w:sz w:val="24"/>
          <w:highlight w:val="none"/>
        </w:rPr>
      </w:pPr>
      <w:r>
        <w:rPr>
          <w:b/>
          <w:color w:val="auto"/>
          <w:sz w:val="24"/>
          <w:highlight w:val="none"/>
        </w:rPr>
        <w:t>2</w:t>
      </w:r>
      <w:r>
        <w:rPr>
          <w:rFonts w:hint="eastAsia"/>
          <w:b/>
          <w:color w:val="auto"/>
          <w:sz w:val="24"/>
          <w:highlight w:val="none"/>
          <w:lang w:val="en-US" w:eastAsia="zh-CN"/>
        </w:rPr>
        <w:t>3</w:t>
      </w:r>
      <w:r>
        <w:rPr>
          <w:b/>
          <w:color w:val="auto"/>
          <w:sz w:val="24"/>
          <w:highlight w:val="none"/>
        </w:rPr>
        <w:t>.成交通知书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谈判</w:t>
      </w:r>
      <w:r>
        <w:rPr>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80" w:firstLineChars="200"/>
        <w:rPr>
          <w:color w:val="auto"/>
          <w:sz w:val="24"/>
          <w:highlight w:val="none"/>
        </w:rPr>
      </w:pPr>
      <w:r>
        <w:rPr>
          <w:rFonts w:hint="eastAsia" w:ascii="宋体" w:hAnsi="宋体" w:eastAsia="宋体" w:cs="宋体"/>
          <w:color w:val="auto"/>
          <w:sz w:val="24"/>
          <w:szCs w:val="24"/>
          <w:highlight w:val="none"/>
        </w:rPr>
        <w:t>2</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r>
        <w:rPr>
          <w:color w:val="auto"/>
          <w:sz w:val="24"/>
          <w:highlight w:val="none"/>
        </w:rPr>
        <w:t>。</w:t>
      </w:r>
    </w:p>
    <w:p>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.2谈判文件、成交供应商的响应文件及其澄清文件等，均为签订合同的依据。</w:t>
      </w:r>
    </w:p>
    <w:p>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pPr>
        <w:spacing w:line="360" w:lineRule="auto"/>
        <w:ind w:firstLine="470" w:firstLineChars="196"/>
        <w:rPr>
          <w:color w:val="auto"/>
          <w:sz w:val="24"/>
          <w:highlight w:val="none"/>
        </w:rPr>
      </w:pPr>
      <w:bookmarkStart w:id="35" w:name="_Hlk60264926"/>
      <w:r>
        <w:rPr>
          <w:rFonts w:hint="eastAsia"/>
          <w:color w:val="auto"/>
          <w:sz w:val="24"/>
          <w:highlight w:val="none"/>
          <w:lang w:val="en-US" w:eastAsia="zh-CN"/>
        </w:rPr>
        <w:t>27</w:t>
      </w:r>
      <w:r>
        <w:rPr>
          <w:rFonts w:hint="eastAsia"/>
          <w:color w:val="auto"/>
          <w:sz w:val="24"/>
          <w:highlight w:val="none"/>
        </w:rPr>
        <w:t>.</w:t>
      </w:r>
      <w:r>
        <w:rPr>
          <w:color w:val="auto"/>
          <w:sz w:val="24"/>
          <w:highlight w:val="none"/>
        </w:rPr>
        <w:t>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35"/>
    </w:p>
    <w:p>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谈判文件第八章）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0</w:t>
      </w:r>
      <w:r>
        <w:rPr>
          <w:b/>
          <w:color w:val="auto"/>
          <w:sz w:val="24"/>
          <w:highlight w:val="none"/>
        </w:rPr>
        <w:t>.需要补充的其他内容</w:t>
      </w:r>
    </w:p>
    <w:p>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6" w:name="_Toc6146"/>
      <w:r>
        <w:rPr>
          <w:rFonts w:hint="eastAsia" w:asciiTheme="minorEastAsia" w:hAnsiTheme="minorEastAsia" w:eastAsiaTheme="minorEastAsia"/>
          <w:b/>
          <w:color w:val="auto"/>
          <w:sz w:val="28"/>
          <w:highlight w:val="none"/>
        </w:rPr>
        <w:t>第三章  采购需求</w:t>
      </w:r>
      <w:bookmarkEnd w:id="36"/>
    </w:p>
    <w:tbl>
      <w:tblPr>
        <w:tblStyle w:val="9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3688" w:type="pct"/>
            <w:vAlign w:val="center"/>
          </w:tcPr>
          <w:p>
            <w:pPr>
              <w:spacing w:line="360" w:lineRule="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供应商最后报价均不得高于谈判文件（公告）列明的项目预算、最高投标限价，否则其响应文件将被认定为响应无效。</w:t>
            </w:r>
          </w:p>
          <w:p>
            <w:pPr>
              <w:spacing w:line="360" w:lineRule="auto"/>
              <w:rPr>
                <w:kern w:val="2"/>
                <w:sz w:val="21"/>
                <w:szCs w:val="22"/>
              </w:rPr>
            </w:pPr>
            <w:r>
              <w:rPr>
                <w:rFonts w:hint="eastAsia" w:cs="@仿宋_GB2312" w:asciiTheme="minorEastAsia" w:hAnsiTheme="minorEastAsia" w:eastAsiaTheme="minorEastAsia"/>
                <w:color w:val="auto"/>
                <w:kern w:val="2"/>
                <w:sz w:val="24"/>
                <w:szCs w:val="22"/>
                <w:highlight w:val="none"/>
                <w:lang w:val="en-US" w:eastAsia="zh-CN"/>
              </w:rPr>
              <w:t>2、</w:t>
            </w:r>
            <w:r>
              <w:rPr>
                <w:rFonts w:hint="eastAsia" w:cs="@仿宋_GB2312" w:asciiTheme="minorEastAsia" w:hAnsiTheme="minorEastAsia" w:eastAsiaTheme="minorEastAsia"/>
                <w:color w:val="auto"/>
                <w:kern w:val="2"/>
                <w:sz w:val="24"/>
                <w:szCs w:val="22"/>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rPr>
                <w:rFonts w:cs="@仿宋_GB2312" w:asciiTheme="minorEastAsia" w:hAnsiTheme="minorEastAsia" w:eastAsiaTheme="minorEastAsia"/>
                <w:color w:val="auto"/>
                <w:kern w:val="2"/>
                <w:sz w:val="24"/>
                <w:szCs w:val="22"/>
                <w:highlight w:val="none"/>
              </w:rPr>
            </w:pP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bCs/>
                <w:color w:val="auto"/>
                <w:kern w:val="2"/>
                <w:sz w:val="24"/>
                <w:szCs w:val="28"/>
                <w:highlight w:val="none"/>
              </w:rPr>
              <w:t>（</w:t>
            </w:r>
            <w:r>
              <w:rPr>
                <w:rFonts w:hint="eastAsia" w:cs="@仿宋_GB2312" w:asciiTheme="minorEastAsia" w:hAnsiTheme="minorEastAsia" w:eastAsiaTheme="minorEastAsia"/>
                <w:bCs/>
                <w:i/>
                <w:color w:val="auto"/>
                <w:kern w:val="2"/>
                <w:sz w:val="24"/>
                <w:szCs w:val="28"/>
                <w:highlight w:val="none"/>
              </w:rPr>
              <w:t>如有</w:t>
            </w:r>
            <w:r>
              <w:rPr>
                <w:rFonts w:hint="eastAsia" w:cs="@仿宋_GB2312" w:asciiTheme="minorEastAsia" w:hAnsiTheme="minorEastAsia" w:eastAsiaTheme="minorEastAsia"/>
                <w:bCs/>
                <w:color w:val="auto"/>
                <w:kern w:val="2"/>
                <w:sz w:val="24"/>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pPr>
              <w:pStyle w:val="66"/>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第</w:t>
            </w:r>
            <w:r>
              <w:rPr>
                <w:rFonts w:hint="eastAsia" w:asciiTheme="minorEastAsia" w:hAnsiTheme="minorEastAsia" w:eastAsiaTheme="minorEastAsia"/>
                <w:color w:val="auto"/>
                <w:kern w:val="2"/>
                <w:sz w:val="24"/>
                <w:szCs w:val="22"/>
                <w:highlight w:val="none"/>
                <w:u w:val="single"/>
              </w:rPr>
              <w:t xml:space="preserve">    </w:t>
            </w:r>
            <w:r>
              <w:rPr>
                <w:rFonts w:hint="eastAsia" w:asciiTheme="minorEastAsia" w:hAnsiTheme="minorEastAsia" w:eastAsiaTheme="minorEastAsia"/>
                <w:color w:val="auto"/>
                <w:kern w:val="2"/>
                <w:sz w:val="24"/>
                <w:szCs w:val="22"/>
                <w:highlight w:val="none"/>
              </w:rPr>
              <w:t>包（</w:t>
            </w:r>
            <w:r>
              <w:rPr>
                <w:rFonts w:hint="eastAsia" w:asciiTheme="minorEastAsia" w:hAnsiTheme="minorEastAsia" w:eastAsiaTheme="minorEastAsia"/>
                <w:i/>
                <w:iCs/>
                <w:color w:val="auto"/>
                <w:kern w:val="2"/>
                <w:sz w:val="24"/>
                <w:szCs w:val="22"/>
                <w:highlight w:val="none"/>
              </w:rPr>
              <w:t>不分包项目删除）</w:t>
            </w:r>
            <w:r>
              <w:rPr>
                <w:rFonts w:hint="eastAsia" w:asciiTheme="minorEastAsia" w:hAnsiTheme="minorEastAsia" w:eastAsiaTheme="minorEastAsia"/>
                <w:color w:val="auto"/>
                <w:kern w:val="2"/>
                <w:sz w:val="24"/>
                <w:szCs w:val="22"/>
                <w:highlight w:val="none"/>
              </w:rPr>
              <w:t>：</w:t>
            </w:r>
          </w:p>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标的名称：</w:t>
            </w:r>
          </w:p>
          <w:p>
            <w:pPr>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hint="default"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w:t>
            </w:r>
          </w:p>
        </w:tc>
        <w:tc>
          <w:tcPr>
            <w:tcW w:w="749" w:type="pct"/>
            <w:vAlign w:val="center"/>
          </w:tcPr>
          <w:p>
            <w:pPr>
              <w:spacing w:line="360" w:lineRule="auto"/>
              <w:ind w:firstLine="435"/>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c>
          <w:tcPr>
            <w:tcW w:w="3688" w:type="pct"/>
            <w:vAlign w:val="center"/>
          </w:tcPr>
          <w:p>
            <w:pPr>
              <w:spacing w:line="360" w:lineRule="auto"/>
              <w:ind w:firstLine="435"/>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r>
    </w:tbl>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7" w:name="_Toc28266"/>
      <w:r>
        <w:rPr>
          <w:rFonts w:hint="eastAsia" w:asciiTheme="minorEastAsia" w:hAnsiTheme="minorEastAsia" w:eastAsiaTheme="minorEastAsia"/>
          <w:b/>
          <w:color w:val="auto"/>
          <w:sz w:val="28"/>
          <w:highlight w:val="none"/>
        </w:rPr>
        <w:t>第四章  评审方法和标准</w:t>
      </w:r>
      <w:bookmarkEnd w:id="37"/>
    </w:p>
    <w:p>
      <w:pPr>
        <w:spacing w:line="360" w:lineRule="auto"/>
        <w:ind w:firstLine="437"/>
        <w:outlineLvl w:val="1"/>
        <w:rPr>
          <w:rFonts w:asciiTheme="minorEastAsia" w:hAnsiTheme="minorEastAsia" w:eastAsiaTheme="minorEastAsia"/>
          <w:b/>
          <w:color w:val="auto"/>
          <w:sz w:val="24"/>
          <w:highlight w:val="none"/>
        </w:rPr>
      </w:pPr>
      <w:bookmarkStart w:id="38" w:name="_Toc7817"/>
      <w:bookmarkStart w:id="39" w:name="_Toc7278"/>
      <w:r>
        <w:rPr>
          <w:rFonts w:hint="eastAsia" w:asciiTheme="minorEastAsia" w:hAnsiTheme="minorEastAsia" w:eastAsiaTheme="minorEastAsia"/>
          <w:b/>
          <w:color w:val="auto"/>
          <w:sz w:val="24"/>
          <w:highlight w:val="none"/>
        </w:rPr>
        <w:t>一、总则</w:t>
      </w:r>
      <w:bookmarkEnd w:id="38"/>
      <w:bookmarkEnd w:id="3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0" w:name="_Toc31558"/>
      <w:bookmarkStart w:id="41" w:name="_Toc31007"/>
      <w:r>
        <w:rPr>
          <w:rFonts w:hint="eastAsia" w:asciiTheme="minorEastAsia" w:hAnsiTheme="minorEastAsia" w:eastAsiaTheme="minorEastAsia"/>
          <w:b/>
          <w:color w:val="auto"/>
          <w:sz w:val="24"/>
          <w:highlight w:val="none"/>
        </w:rPr>
        <w:t>二、评审方法</w:t>
      </w:r>
      <w:bookmarkEnd w:id="40"/>
      <w:bookmarkEnd w:id="41"/>
    </w:p>
    <w:tbl>
      <w:tblPr>
        <w:tblStyle w:val="53"/>
        <w:tblW w:w="50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553"/>
        <w:gridCol w:w="3777"/>
        <w:gridCol w:w="2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000" w:type="pct"/>
            <w:gridSpan w:val="4"/>
            <w:tcBorders>
              <w:bottom w:val="single" w:color="auto" w:sz="4" w:space="0"/>
            </w:tcBorders>
            <w:vAlign w:val="center"/>
          </w:tcPr>
          <w:p>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92"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901" w:type="pct"/>
            <w:tcBorders>
              <w:bottom w:val="single" w:color="auto" w:sz="4" w:space="0"/>
            </w:tcBorders>
            <w:vAlign w:val="center"/>
          </w:tcPr>
          <w:p>
            <w:pPr>
              <w:pStyle w:val="67"/>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191"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414" w:type="pct"/>
            <w:tcBorders>
              <w:bottom w:val="single" w:color="auto" w:sz="4" w:space="0"/>
            </w:tcBorders>
            <w:vAlign w:val="center"/>
          </w:tcPr>
          <w:p>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tcBorders>
              <w:bottom w:val="single" w:color="auto" w:sz="4" w:space="0"/>
            </w:tcBorders>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1</w:t>
            </w:r>
          </w:p>
        </w:tc>
        <w:tc>
          <w:tcPr>
            <w:tcW w:w="901" w:type="pct"/>
            <w:tcBorders>
              <w:bottom w:val="single" w:color="auto" w:sz="4" w:space="0"/>
            </w:tcBorders>
            <w:vAlign w:val="center"/>
          </w:tcPr>
          <w:p>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191"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olor w:val="auto"/>
                <w:sz w:val="24"/>
                <w:szCs w:val="18"/>
                <w:highlight w:val="none"/>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414" w:type="pct"/>
            <w:tcBorders>
              <w:bottom w:val="single" w:color="auto" w:sz="4" w:space="0"/>
            </w:tcBorders>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lang w:val="en-US" w:eastAsia="zh-CN"/>
              </w:rPr>
              <w:t>2</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191"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41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3</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191"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41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4</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191" w:type="pct"/>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414" w:type="pct"/>
            <w:vAlign w:val="center"/>
          </w:tcPr>
          <w:p>
            <w:pPr>
              <w:spacing w:after="50" w:line="360" w:lineRule="auto"/>
              <w:ind w:right="-10" w:rightChars="0"/>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5</w:t>
            </w:r>
          </w:p>
        </w:tc>
        <w:tc>
          <w:tcPr>
            <w:tcW w:w="901" w:type="pct"/>
            <w:vAlign w:val="top"/>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41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6</w:t>
            </w:r>
          </w:p>
        </w:tc>
        <w:tc>
          <w:tcPr>
            <w:tcW w:w="901"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41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Theme="majorEastAsia" w:hAnsiTheme="majorEastAsia" w:eastAsiaTheme="majorEastAsia"/>
                <w:color w:val="auto"/>
                <w:sz w:val="24"/>
                <w:highlight w:val="none"/>
              </w:rPr>
              <w:t>7</w:t>
            </w:r>
          </w:p>
        </w:tc>
        <w:tc>
          <w:tcPr>
            <w:tcW w:w="901"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414" w:type="pct"/>
            <w:vAlign w:val="center"/>
          </w:tcPr>
          <w:p>
            <w:pPr>
              <w:spacing w:after="50" w:line="360" w:lineRule="auto"/>
              <w:ind w:right="-10" w:rightChars="0"/>
              <w:jc w:val="both"/>
              <w:rPr>
                <w:rFonts w:hint="eastAsia" w:cs="Times New Roman"/>
                <w:color w:val="auto"/>
                <w:kern w:val="2"/>
                <w:sz w:val="24"/>
                <w:szCs w:val="22"/>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Theme="majorEastAsia" w:hAnsiTheme="majorEastAsia" w:eastAsiaTheme="majorEastAsia"/>
                <w:color w:val="auto"/>
                <w:sz w:val="24"/>
                <w:highlight w:val="none"/>
              </w:rPr>
              <w:t>8</w:t>
            </w:r>
          </w:p>
        </w:tc>
        <w:tc>
          <w:tcPr>
            <w:tcW w:w="901"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其他特定资格要求</w:t>
            </w:r>
          </w:p>
        </w:tc>
        <w:tc>
          <w:tcPr>
            <w:tcW w:w="2191"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414" w:type="pct"/>
            <w:vAlign w:val="center"/>
          </w:tcPr>
          <w:p>
            <w:pPr>
              <w:spacing w:after="50" w:line="360" w:lineRule="auto"/>
              <w:ind w:right="-10" w:rightChars="0"/>
              <w:jc w:val="both"/>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jc w:val="center"/>
              <w:rPr>
                <w:rFonts w:cs="Times New Roman" w:asciiTheme="minorEastAsia" w:hAnsiTheme="minorEastAsia" w:eastAsiaTheme="minorEastAsia"/>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9</w:t>
            </w:r>
          </w:p>
        </w:tc>
        <w:tc>
          <w:tcPr>
            <w:tcW w:w="901" w:type="pct"/>
            <w:vAlign w:val="center"/>
          </w:tcPr>
          <w:p>
            <w:pPr>
              <w:adjustRightInd w:val="0"/>
              <w:snapToGrid w:val="0"/>
              <w:spacing w:line="360" w:lineRule="auto"/>
              <w:ind w:right="-10"/>
              <w:jc w:val="center"/>
              <w:rPr>
                <w:rFonts w:ascii="Calibri" w:hAnsi="Calibri" w:cs="Times New Roman"/>
                <w:color w:val="auto"/>
                <w:kern w:val="2"/>
                <w:sz w:val="24"/>
                <w:szCs w:val="24"/>
                <w:highlight w:val="none"/>
              </w:rPr>
            </w:pPr>
            <w:r>
              <w:rPr>
                <w:rFonts w:hint="eastAsia" w:cs="Times New Roman"/>
                <w:color w:val="auto"/>
                <w:kern w:val="2"/>
                <w:sz w:val="24"/>
                <w:highlight w:val="none"/>
              </w:rPr>
              <w:t>授权书</w:t>
            </w:r>
          </w:p>
        </w:tc>
        <w:tc>
          <w:tcPr>
            <w:tcW w:w="2191" w:type="pct"/>
            <w:vAlign w:val="center"/>
          </w:tcPr>
          <w:p>
            <w:pPr>
              <w:adjustRightInd w:val="0"/>
              <w:snapToGrid w:val="0"/>
              <w:spacing w:line="360" w:lineRule="auto"/>
              <w:ind w:right="-1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符合谈判文件要求。</w:t>
            </w:r>
          </w:p>
        </w:tc>
        <w:tc>
          <w:tcPr>
            <w:tcW w:w="1414" w:type="pct"/>
            <w:vAlign w:val="center"/>
          </w:tcPr>
          <w:p>
            <w:pPr>
              <w:adjustRightInd w:val="0"/>
              <w:snapToGrid w:val="0"/>
              <w:spacing w:line="360" w:lineRule="auto"/>
              <w:ind w:right="-1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jc w:val="center"/>
              <w:rPr>
                <w:rFonts w:cs="Times New Roman" w:asciiTheme="minorEastAsia" w:hAnsiTheme="minorEastAsia" w:eastAsiaTheme="minorEastAsia"/>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10</w:t>
            </w:r>
          </w:p>
        </w:tc>
        <w:tc>
          <w:tcPr>
            <w:tcW w:w="901" w:type="pct"/>
            <w:vAlign w:val="center"/>
          </w:tcPr>
          <w:p>
            <w:pPr>
              <w:adjustRightInd w:val="0"/>
              <w:snapToGrid w:val="0"/>
              <w:spacing w:line="360" w:lineRule="auto"/>
              <w:ind w:right="-10"/>
              <w:jc w:val="center"/>
              <w:rPr>
                <w:rFonts w:ascii="Calibri" w:hAnsi="Calibri" w:cs="Times New Roman"/>
                <w:color w:val="auto"/>
                <w:kern w:val="2"/>
                <w:sz w:val="24"/>
                <w:szCs w:val="24"/>
                <w:highlight w:val="none"/>
              </w:rPr>
            </w:pPr>
            <w:r>
              <w:rPr>
                <w:rFonts w:hint="eastAsia" w:cs="Times New Roman"/>
                <w:color w:val="auto"/>
                <w:kern w:val="2"/>
                <w:sz w:val="24"/>
                <w:highlight w:val="none"/>
              </w:rPr>
              <w:t>谈判响应函</w:t>
            </w:r>
          </w:p>
        </w:tc>
        <w:tc>
          <w:tcPr>
            <w:tcW w:w="2191" w:type="pct"/>
            <w:vAlign w:val="center"/>
          </w:tcPr>
          <w:p>
            <w:pPr>
              <w:adjustRightInd w:val="0"/>
              <w:snapToGrid w:val="0"/>
              <w:spacing w:line="360" w:lineRule="auto"/>
              <w:ind w:right="-1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符合谈判文件要求。</w:t>
            </w:r>
          </w:p>
        </w:tc>
        <w:tc>
          <w:tcPr>
            <w:tcW w:w="1414" w:type="pct"/>
            <w:vAlign w:val="center"/>
          </w:tcPr>
          <w:p>
            <w:pPr>
              <w:adjustRightInd w:val="0"/>
              <w:snapToGrid w:val="0"/>
              <w:spacing w:line="360" w:lineRule="auto"/>
              <w:ind w:right="-1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rightChars="0"/>
              <w:jc w:val="center"/>
              <w:rPr>
                <w:rFonts w:cs="Times New Roman" w:asciiTheme="minorEastAsia" w:hAnsiTheme="minorEastAsia" w:eastAsiaTheme="minorEastAsia"/>
                <w:color w:val="auto"/>
                <w:kern w:val="2"/>
                <w:sz w:val="24"/>
                <w:szCs w:val="22"/>
                <w:highlight w:val="none"/>
              </w:rPr>
            </w:pPr>
            <w:r>
              <w:rPr>
                <w:rFonts w:hint="eastAsia" w:ascii="宋体" w:hAnsi="宋体" w:eastAsia="宋体"/>
                <w:color w:val="auto"/>
                <w:sz w:val="24"/>
                <w:highlight w:val="none"/>
              </w:rPr>
              <w:t>11</w:t>
            </w:r>
          </w:p>
        </w:tc>
        <w:tc>
          <w:tcPr>
            <w:tcW w:w="901"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191" w:type="pct"/>
            <w:vAlign w:val="center"/>
          </w:tcPr>
          <w:p>
            <w:pPr>
              <w:spacing w:after="50" w:line="360" w:lineRule="auto"/>
              <w:ind w:right="-10" w:rightChars="0"/>
              <w:jc w:val="both"/>
              <w:rPr>
                <w:rFonts w:hint="eastAsia" w:ascii="Calibri" w:hAnsi="Calibri" w:cs="Times New Roman" w:eastAsiaTheme="minorEastAsia"/>
                <w:color w:val="auto"/>
                <w:kern w:val="2"/>
                <w:sz w:val="24"/>
                <w:szCs w:val="22"/>
                <w:highlight w:val="none"/>
                <w:lang w:val="en-US" w:eastAsia="zh-CN"/>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要求</w:t>
            </w:r>
          </w:p>
        </w:tc>
        <w:tc>
          <w:tcPr>
            <w:tcW w:w="1414" w:type="pct"/>
            <w:vAlign w:val="center"/>
          </w:tcPr>
          <w:p>
            <w:pPr>
              <w:adjustRightInd w:val="0"/>
              <w:snapToGrid w:val="0"/>
              <w:spacing w:line="360" w:lineRule="auto"/>
              <w:ind w:right="-10" w:rightChars="0"/>
              <w:jc w:val="center"/>
              <w:rPr>
                <w:rFonts w:hint="eastAsia" w:asciiTheme="majorEastAsia" w:hAnsiTheme="majorEastAsia" w:eastAsiaTheme="majorEastAsia"/>
                <w:color w:val="auto"/>
                <w:sz w:val="24"/>
                <w:highlight w:val="none"/>
              </w:rPr>
            </w:pP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adjustRightInd w:val="0"/>
              <w:snapToGrid w:val="0"/>
              <w:spacing w:line="360" w:lineRule="auto"/>
              <w:ind w:right="-10"/>
              <w:jc w:val="center"/>
              <w:rPr>
                <w:rFonts w:hint="default" w:cs="Times New Roman" w:asciiTheme="minorEastAsia" w:hAnsiTheme="minorEastAsia" w:eastAsiaTheme="minorEastAsia"/>
                <w:color w:val="auto"/>
                <w:kern w:val="2"/>
                <w:sz w:val="24"/>
                <w:szCs w:val="22"/>
                <w:highlight w:val="none"/>
                <w:lang w:val="en-US" w:eastAsia="zh-CN"/>
              </w:rPr>
            </w:pPr>
            <w:r>
              <w:rPr>
                <w:rFonts w:hint="eastAsia" w:cs="Times New Roman" w:asciiTheme="minorEastAsia" w:hAnsiTheme="minorEastAsia" w:eastAsiaTheme="minorEastAsia"/>
                <w:color w:val="auto"/>
                <w:kern w:val="2"/>
                <w:sz w:val="24"/>
                <w:szCs w:val="22"/>
                <w:highlight w:val="none"/>
                <w:lang w:val="en-US" w:eastAsia="zh-CN"/>
              </w:rPr>
              <w:t>...</w:t>
            </w:r>
          </w:p>
        </w:tc>
        <w:tc>
          <w:tcPr>
            <w:tcW w:w="901" w:type="pct"/>
            <w:vAlign w:val="center"/>
          </w:tcPr>
          <w:p>
            <w:pPr>
              <w:adjustRightInd w:val="0"/>
              <w:snapToGrid w:val="0"/>
              <w:spacing w:line="360" w:lineRule="auto"/>
              <w:ind w:right="-10"/>
              <w:jc w:val="center"/>
              <w:rPr>
                <w:rFonts w:ascii="Calibri" w:hAnsi="Calibri" w:cs="Times New Roman"/>
                <w:color w:val="auto"/>
                <w:kern w:val="2"/>
                <w:sz w:val="24"/>
                <w:szCs w:val="24"/>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2191" w:type="pct"/>
            <w:vAlign w:val="center"/>
          </w:tcPr>
          <w:p>
            <w:pPr>
              <w:adjustRightInd w:val="0"/>
              <w:snapToGrid w:val="0"/>
              <w:spacing w:line="360" w:lineRule="auto"/>
              <w:ind w:right="-10"/>
              <w:jc w:val="left"/>
              <w:rPr>
                <w:rFonts w:ascii="Calibri" w:hAnsi="Calibri"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1414" w:type="pct"/>
            <w:vAlign w:val="center"/>
          </w:tcPr>
          <w:p>
            <w:pPr>
              <w:adjustRightInd w:val="0"/>
              <w:snapToGrid w:val="0"/>
              <w:spacing w:line="360" w:lineRule="auto"/>
              <w:ind w:right="-1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85" w:type="pct"/>
            <w:gridSpan w:val="3"/>
            <w:tcBorders>
              <w:bottom w:val="single" w:color="auto" w:sz="4" w:space="0"/>
            </w:tcBorders>
            <w:vAlign w:val="center"/>
          </w:tcPr>
          <w:p>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414" w:type="pct"/>
            <w:tcBorders>
              <w:bottom w:val="single" w:color="auto" w:sz="4" w:space="0"/>
            </w:tcBorders>
            <w:vAlign w:val="center"/>
          </w:tcPr>
          <w:p>
            <w:pPr>
              <w:adjustRightInd w:val="0"/>
              <w:snapToGrid w:val="0"/>
              <w:ind w:right="-10"/>
              <w:jc w:val="left"/>
              <w:rPr>
                <w:rFonts w:hint="eastAsia" w:ascii="Calibri" w:hAnsi="Calibri" w:cs="Times New Roman"/>
                <w:color w:val="auto"/>
                <w:kern w:val="2"/>
                <w:sz w:val="24"/>
                <w:szCs w:val="22"/>
                <w:highlight w:val="none"/>
              </w:rPr>
            </w:pPr>
          </w:p>
        </w:tc>
      </w:tr>
    </w:tbl>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2" w:name="_Toc32646"/>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2"/>
    </w:p>
    <w:p>
      <w:pPr>
        <w:keepNext/>
        <w:keepLines/>
        <w:snapToGrid w:val="0"/>
        <w:spacing w:before="312" w:beforeLines="100" w:after="312" w:afterLines="100" w:line="360" w:lineRule="auto"/>
        <w:jc w:val="center"/>
        <w:outlineLvl w:val="1"/>
        <w:rPr>
          <w:rFonts w:cs="宋体"/>
          <w:b/>
          <w:bCs/>
          <w:color w:val="auto"/>
          <w:sz w:val="21"/>
          <w:szCs w:val="21"/>
        </w:rPr>
      </w:pPr>
      <w:bookmarkStart w:id="43" w:name="_Toc28799376"/>
      <w:bookmarkStart w:id="44" w:name="_Toc130919120"/>
      <w:bookmarkStart w:id="45" w:name="_Toc25807"/>
      <w:r>
        <w:rPr>
          <w:rFonts w:hint="eastAsia" w:cs="宋体"/>
          <w:b/>
          <w:bCs/>
          <w:color w:val="auto"/>
          <w:sz w:val="21"/>
          <w:szCs w:val="21"/>
        </w:rPr>
        <w:t>第一节  合同协议书</w:t>
      </w:r>
      <w:bookmarkEnd w:id="43"/>
      <w:bookmarkEnd w:id="44"/>
      <w:bookmarkEnd w:id="45"/>
    </w:p>
    <w:p>
      <w:pPr>
        <w:spacing w:line="360" w:lineRule="auto"/>
        <w:rPr>
          <w:rFonts w:cs="宋体"/>
          <w:b/>
          <w:color w:val="auto"/>
          <w:sz w:val="24"/>
          <w:szCs w:val="24"/>
          <w:u w:val="single"/>
        </w:rPr>
      </w:pPr>
      <w:r>
        <w:rPr>
          <w:rFonts w:hint="eastAsia" w:cs="宋体"/>
          <w:b/>
          <w:color w:val="auto"/>
          <w:sz w:val="24"/>
          <w:szCs w:val="24"/>
        </w:rPr>
        <w:t>发包人（全称）：</w:t>
      </w:r>
      <w:r>
        <w:rPr>
          <w:rFonts w:hint="eastAsia" w:cs="宋体"/>
          <w:b/>
          <w:color w:val="auto"/>
          <w:sz w:val="24"/>
          <w:szCs w:val="24"/>
          <w:u w:val="single"/>
        </w:rPr>
        <w:t xml:space="preserve">        </w:t>
      </w:r>
    </w:p>
    <w:p>
      <w:pPr>
        <w:spacing w:line="360" w:lineRule="auto"/>
        <w:rPr>
          <w:rFonts w:cs="宋体"/>
          <w:b/>
          <w:color w:val="auto"/>
          <w:sz w:val="24"/>
          <w:szCs w:val="24"/>
          <w:u w:val="single"/>
        </w:rPr>
      </w:pPr>
      <w:r>
        <w:rPr>
          <w:rFonts w:hint="eastAsia" w:cs="宋体"/>
          <w:b/>
          <w:color w:val="auto"/>
          <w:sz w:val="24"/>
          <w:szCs w:val="24"/>
        </w:rPr>
        <w:t>承包人（全称）：</w:t>
      </w:r>
      <w:r>
        <w:rPr>
          <w:rFonts w:hint="eastAsia" w:cs="宋体"/>
          <w:b/>
          <w:color w:val="auto"/>
          <w:sz w:val="24"/>
          <w:szCs w:val="24"/>
          <w:u w:val="single"/>
        </w:rPr>
        <w:t xml:space="preserve">        </w:t>
      </w:r>
    </w:p>
    <w:p>
      <w:pPr>
        <w:spacing w:line="360" w:lineRule="auto"/>
        <w:rPr>
          <w:rFonts w:ascii="Times New Roman" w:hAnsi="Times New Roman" w:eastAsia="仿宋_GB2312" w:cs="Times New Roman"/>
          <w:b/>
          <w:color w:val="auto"/>
          <w:kern w:val="2"/>
          <w:sz w:val="30"/>
          <w:szCs w:val="30"/>
          <w:u w:val="single"/>
        </w:rPr>
      </w:pPr>
    </w:p>
    <w:p>
      <w:pPr>
        <w:snapToGrid w:val="0"/>
        <w:spacing w:line="360" w:lineRule="auto"/>
        <w:ind w:firstLine="420" w:firstLineChars="200"/>
        <w:rPr>
          <w:rFonts w:cs="宋体"/>
          <w:color w:val="auto"/>
          <w:sz w:val="21"/>
          <w:szCs w:val="21"/>
        </w:rPr>
      </w:pPr>
      <w:r>
        <w:rPr>
          <w:rFonts w:hint="eastAsia" w:cs="宋体"/>
          <w:color w:val="auto"/>
          <w:sz w:val="21"/>
          <w:szCs w:val="21"/>
        </w:rPr>
        <w:t>根据《中华人民共和国民法典》《中华人民共和国建筑法》及有关法律规定，遵循平等、自愿、公平和诚实信用的原则，双方就</w:t>
      </w:r>
      <w:r>
        <w:rPr>
          <w:rFonts w:hint="eastAsia" w:cs="宋体"/>
          <w:color w:val="auto"/>
          <w:sz w:val="21"/>
          <w:szCs w:val="21"/>
          <w:u w:val="single"/>
        </w:rPr>
        <w:t xml:space="preserve">                       </w:t>
      </w:r>
      <w:r>
        <w:rPr>
          <w:rFonts w:hint="eastAsia" w:cs="宋体"/>
          <w:color w:val="auto"/>
          <w:sz w:val="21"/>
          <w:szCs w:val="21"/>
        </w:rPr>
        <w:t>工程施工及有关事项协商一致，共同达成如下协议：</w:t>
      </w:r>
    </w:p>
    <w:p>
      <w:pPr>
        <w:snapToGrid w:val="0"/>
        <w:spacing w:line="360" w:lineRule="auto"/>
        <w:ind w:firstLine="422" w:firstLineChars="200"/>
        <w:rPr>
          <w:rFonts w:cs="宋体"/>
          <w:color w:val="auto"/>
          <w:sz w:val="21"/>
          <w:szCs w:val="21"/>
        </w:rPr>
      </w:pPr>
      <w:r>
        <w:rPr>
          <w:rFonts w:hint="eastAsia" w:cs="宋体"/>
          <w:b/>
          <w:color w:val="auto"/>
          <w:sz w:val="21"/>
          <w:szCs w:val="21"/>
        </w:rPr>
        <w:t>一、工程概况</w:t>
      </w:r>
    </w:p>
    <w:p>
      <w:pPr>
        <w:snapToGrid w:val="0"/>
        <w:spacing w:line="360" w:lineRule="auto"/>
        <w:ind w:firstLine="411" w:firstLineChars="196"/>
        <w:rPr>
          <w:rFonts w:cs="宋体"/>
          <w:color w:val="auto"/>
          <w:sz w:val="21"/>
          <w:szCs w:val="21"/>
          <w:u w:val="single"/>
        </w:rPr>
      </w:pPr>
      <w:r>
        <w:rPr>
          <w:rFonts w:hint="eastAsia" w:cs="宋体"/>
          <w:bCs/>
          <w:color w:val="auto"/>
          <w:sz w:val="21"/>
          <w:szCs w:val="21"/>
        </w:rPr>
        <w:t>1. 工程名称</w:t>
      </w:r>
      <w:r>
        <w:rPr>
          <w:rFonts w:hint="eastAsia" w:cs="宋体"/>
          <w:color w:val="auto"/>
          <w:sz w:val="21"/>
          <w:szCs w:val="21"/>
        </w:rPr>
        <w:t>：</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2. 工程地点：</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3. 工程立项批准文号：</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4. 资金来源：</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5. 工程内容：</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color w:val="auto"/>
          <w:sz w:val="21"/>
          <w:szCs w:val="21"/>
        </w:rPr>
        <w:t>群体工程应附《承包人承揽工程项目一览表》（附件1）。</w:t>
      </w:r>
    </w:p>
    <w:p>
      <w:pPr>
        <w:snapToGrid w:val="0"/>
        <w:spacing w:line="360" w:lineRule="auto"/>
        <w:ind w:firstLine="411" w:firstLineChars="196"/>
        <w:rPr>
          <w:rFonts w:cs="宋体"/>
          <w:bCs/>
          <w:color w:val="auto"/>
          <w:sz w:val="21"/>
          <w:szCs w:val="21"/>
        </w:rPr>
      </w:pPr>
      <w:r>
        <w:rPr>
          <w:rFonts w:hint="eastAsia" w:cs="宋体"/>
          <w:bCs/>
          <w:color w:val="auto"/>
          <w:sz w:val="21"/>
          <w:szCs w:val="21"/>
        </w:rPr>
        <w:t>6. 工程承包范围：</w:t>
      </w:r>
    </w:p>
    <w:p>
      <w:pPr>
        <w:snapToGrid w:val="0"/>
        <w:spacing w:line="360" w:lineRule="auto"/>
        <w:ind w:firstLine="405" w:firstLineChars="193"/>
        <w:rPr>
          <w:rFonts w:cs="宋体"/>
          <w:color w:val="auto"/>
          <w:sz w:val="21"/>
          <w:szCs w:val="21"/>
        </w:rPr>
      </w:pPr>
      <w:r>
        <w:rPr>
          <w:rFonts w:hint="eastAsia" w:cs="宋体"/>
          <w:color w:val="auto"/>
          <w:sz w:val="21"/>
          <w:szCs w:val="21"/>
          <w:u w:val="single"/>
        </w:rPr>
        <w:t xml:space="preserve">      </w:t>
      </w:r>
    </w:p>
    <w:p>
      <w:pPr>
        <w:snapToGrid w:val="0"/>
        <w:spacing w:line="360" w:lineRule="auto"/>
        <w:ind w:firstLine="420" w:firstLineChars="200"/>
        <w:rPr>
          <w:rFonts w:cs="宋体"/>
          <w:color w:val="auto"/>
          <w:sz w:val="21"/>
          <w:szCs w:val="21"/>
        </w:rPr>
      </w:pPr>
      <w:r>
        <w:rPr>
          <w:rFonts w:hint="eastAsia" w:cs="宋体"/>
          <w:color w:val="auto"/>
          <w:sz w:val="21"/>
          <w:szCs w:val="21"/>
          <w:u w:val="single"/>
        </w:rPr>
        <w:t>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6" w:name="_Toc351203482"/>
      <w:r>
        <w:rPr>
          <w:rFonts w:hint="eastAsia" w:cs="宋体"/>
          <w:b/>
          <w:color w:val="auto"/>
          <w:sz w:val="21"/>
          <w:szCs w:val="21"/>
        </w:rPr>
        <w:t>二、合同工期</w:t>
      </w:r>
      <w:bookmarkEnd w:id="46"/>
    </w:p>
    <w:p>
      <w:pPr>
        <w:snapToGrid w:val="0"/>
        <w:spacing w:line="360" w:lineRule="auto"/>
        <w:ind w:firstLine="459"/>
        <w:rPr>
          <w:rFonts w:cs="宋体"/>
          <w:color w:val="auto"/>
          <w:sz w:val="21"/>
          <w:szCs w:val="21"/>
        </w:rPr>
      </w:pPr>
      <w:r>
        <w:rPr>
          <w:rFonts w:hint="eastAsia" w:cs="宋体"/>
          <w:color w:val="auto"/>
          <w:sz w:val="21"/>
          <w:szCs w:val="21"/>
        </w:rPr>
        <w:t>计划开工日期：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计划竣工日期：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工期总日历天数：</w:t>
      </w:r>
      <w:r>
        <w:rPr>
          <w:rFonts w:hint="eastAsia" w:cs="宋体"/>
          <w:color w:val="auto"/>
          <w:sz w:val="21"/>
          <w:szCs w:val="21"/>
          <w:u w:val="single"/>
        </w:rPr>
        <w:t></w:t>
      </w:r>
      <w:r>
        <w:rPr>
          <w:rFonts w:hint="eastAsia" w:cs="宋体"/>
          <w:color w:val="auto"/>
          <w:sz w:val="21"/>
          <w:szCs w:val="21"/>
        </w:rPr>
        <w:t>天。工期总日历天数与根据前述计划开竣工日期计算的工期天数不一致的，以工期总日历天数为准。</w:t>
      </w:r>
    </w:p>
    <w:p>
      <w:pPr>
        <w:snapToGrid w:val="0"/>
        <w:spacing w:line="360" w:lineRule="auto"/>
        <w:ind w:firstLine="422" w:firstLineChars="200"/>
        <w:rPr>
          <w:rFonts w:cs="宋体"/>
          <w:b/>
          <w:color w:val="auto"/>
          <w:sz w:val="21"/>
          <w:szCs w:val="21"/>
        </w:rPr>
      </w:pPr>
      <w:bookmarkStart w:id="47" w:name="_Toc351203483"/>
      <w:r>
        <w:rPr>
          <w:rFonts w:hint="eastAsia" w:cs="宋体"/>
          <w:b/>
          <w:color w:val="auto"/>
          <w:sz w:val="21"/>
          <w:szCs w:val="21"/>
        </w:rPr>
        <w:t>三、质量标准</w:t>
      </w:r>
      <w:bookmarkEnd w:id="47"/>
    </w:p>
    <w:p>
      <w:pPr>
        <w:snapToGrid w:val="0"/>
        <w:spacing w:line="360" w:lineRule="auto"/>
        <w:ind w:firstLine="459"/>
        <w:rPr>
          <w:rFonts w:cs="宋体"/>
          <w:color w:val="auto"/>
          <w:sz w:val="21"/>
          <w:szCs w:val="21"/>
        </w:rPr>
      </w:pPr>
      <w:r>
        <w:rPr>
          <w:rFonts w:hint="eastAsia" w:cs="宋体"/>
          <w:color w:val="auto"/>
          <w:sz w:val="21"/>
          <w:szCs w:val="21"/>
        </w:rPr>
        <w:t>工程质量符合</w:t>
      </w:r>
      <w:r>
        <w:rPr>
          <w:rFonts w:hint="eastAsia" w:cs="宋体"/>
          <w:color w:val="auto"/>
          <w:sz w:val="21"/>
          <w:szCs w:val="21"/>
          <w:u w:val="single"/>
        </w:rPr>
        <w:t xml:space="preserve"> 合格 </w:t>
      </w:r>
      <w:r>
        <w:rPr>
          <w:rFonts w:hint="eastAsia" w:cs="宋体"/>
          <w:color w:val="auto"/>
          <w:sz w:val="21"/>
          <w:szCs w:val="21"/>
        </w:rPr>
        <w:t>标准。</w:t>
      </w:r>
    </w:p>
    <w:p>
      <w:pPr>
        <w:snapToGrid w:val="0"/>
        <w:spacing w:line="360" w:lineRule="auto"/>
        <w:ind w:firstLine="422" w:firstLineChars="200"/>
        <w:rPr>
          <w:rFonts w:cs="宋体"/>
          <w:b/>
          <w:color w:val="auto"/>
          <w:sz w:val="21"/>
          <w:szCs w:val="21"/>
        </w:rPr>
      </w:pPr>
      <w:bookmarkStart w:id="48" w:name="_Toc351203484"/>
      <w:r>
        <w:rPr>
          <w:rFonts w:hint="eastAsia" w:cs="宋体"/>
          <w:b/>
          <w:color w:val="auto"/>
          <w:sz w:val="21"/>
          <w:szCs w:val="21"/>
        </w:rPr>
        <w:t>四、签约合同价与合同价格形式</w:t>
      </w:r>
      <w:bookmarkEnd w:id="48"/>
    </w:p>
    <w:p>
      <w:pPr>
        <w:snapToGrid w:val="0"/>
        <w:spacing w:line="360" w:lineRule="auto"/>
        <w:ind w:firstLine="420" w:firstLineChars="200"/>
        <w:rPr>
          <w:rFonts w:cs="宋体"/>
          <w:color w:val="auto"/>
          <w:sz w:val="21"/>
          <w:szCs w:val="21"/>
        </w:rPr>
      </w:pPr>
      <w:r>
        <w:rPr>
          <w:rFonts w:hint="eastAsia" w:cs="宋体"/>
          <w:color w:val="auto"/>
          <w:sz w:val="21"/>
          <w:szCs w:val="21"/>
        </w:rPr>
        <w:t>1. 签约合同价为：</w:t>
      </w:r>
    </w:p>
    <w:p>
      <w:pPr>
        <w:snapToGrid w:val="0"/>
        <w:spacing w:line="360" w:lineRule="auto"/>
        <w:ind w:firstLine="525" w:firstLineChars="2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其中：</w:t>
      </w:r>
    </w:p>
    <w:p>
      <w:pPr>
        <w:snapToGrid w:val="0"/>
        <w:spacing w:line="360" w:lineRule="auto"/>
        <w:ind w:firstLine="420" w:firstLineChars="200"/>
        <w:rPr>
          <w:rFonts w:cs="宋体"/>
          <w:color w:val="auto"/>
          <w:sz w:val="21"/>
          <w:szCs w:val="21"/>
        </w:rPr>
      </w:pPr>
      <w:r>
        <w:rPr>
          <w:rFonts w:hint="eastAsia" w:cs="宋体"/>
          <w:color w:val="auto"/>
          <w:sz w:val="21"/>
          <w:szCs w:val="21"/>
        </w:rPr>
        <w:t>（1）安全文明施工费：</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（2）材料和工程设备暂估价金额：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（3）专业工程暂估价金额：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（4）暂列金额：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 合同价格形式：</w:t>
      </w:r>
      <w:r>
        <w:rPr>
          <w:rFonts w:hint="eastAsia" w:cs="宋体"/>
          <w:color w:val="auto"/>
          <w:sz w:val="21"/>
          <w:szCs w:val="21"/>
          <w:u w:val="single"/>
        </w:rPr>
        <w:t xml:space="preserve">总价合同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9" w:name="_Toc351203485"/>
      <w:r>
        <w:rPr>
          <w:rFonts w:hint="eastAsia" w:cs="宋体"/>
          <w:b/>
          <w:color w:val="auto"/>
          <w:sz w:val="21"/>
          <w:szCs w:val="21"/>
        </w:rPr>
        <w:t>五、</w:t>
      </w:r>
      <w:bookmarkEnd w:id="49"/>
      <w:r>
        <w:rPr>
          <w:rFonts w:hint="eastAsia" w:cs="宋体"/>
          <w:b/>
          <w:color w:val="auto"/>
          <w:sz w:val="21"/>
          <w:szCs w:val="21"/>
        </w:rPr>
        <w:t>项目经理</w:t>
      </w:r>
    </w:p>
    <w:p>
      <w:pPr>
        <w:snapToGrid w:val="0"/>
        <w:spacing w:line="360" w:lineRule="auto"/>
        <w:ind w:firstLine="420" w:firstLineChars="200"/>
        <w:rPr>
          <w:rFonts w:cs="宋体"/>
          <w:color w:val="auto"/>
          <w:sz w:val="21"/>
          <w:szCs w:val="21"/>
        </w:rPr>
      </w:pPr>
      <w:r>
        <w:rPr>
          <w:rFonts w:hint="eastAsia" w:cs="宋体"/>
          <w:color w:val="auto"/>
          <w:sz w:val="21"/>
          <w:szCs w:val="21"/>
        </w:rPr>
        <w:t>承包人项目经理：</w:t>
      </w:r>
      <w:r>
        <w:rPr>
          <w:rFonts w:hint="eastAsia" w:cs="宋体"/>
          <w:color w:val="auto"/>
          <w:sz w:val="21"/>
          <w:szCs w:val="21"/>
          <w:u w:val="single"/>
        </w:rPr>
        <w:t>                 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50" w:name="_Toc351203486"/>
      <w:r>
        <w:rPr>
          <w:rFonts w:hint="eastAsia" w:cs="宋体"/>
          <w:b/>
          <w:color w:val="auto"/>
          <w:sz w:val="21"/>
          <w:szCs w:val="21"/>
        </w:rPr>
        <w:t>六、合同文件构成</w:t>
      </w:r>
      <w:bookmarkEnd w:id="50"/>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本协议书与下列文件一起构成合同文件：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（1）中标通知书（如果有）；</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 xml:space="preserve">（2）投标函及其附录（如果有）； </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（3）专用合同条款及其附件；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（4）通用合同条款；</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（5）技术标准和要求；</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（6）图纸；</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（7）已标价工程量清单或预算书；</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（8）其他合同文件。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在合同订立及履行过程中形成的与合同有关的文件均构成合同文件组成部分。</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firstLine="422" w:firstLineChars="200"/>
        <w:rPr>
          <w:rFonts w:cs="宋体"/>
          <w:b/>
          <w:color w:val="auto"/>
          <w:sz w:val="21"/>
          <w:szCs w:val="21"/>
        </w:rPr>
      </w:pPr>
      <w:bookmarkStart w:id="51" w:name="_Toc351203487"/>
      <w:r>
        <w:rPr>
          <w:rFonts w:hint="eastAsia" w:cs="宋体"/>
          <w:b/>
          <w:color w:val="auto"/>
          <w:sz w:val="21"/>
          <w:szCs w:val="21"/>
        </w:rPr>
        <w:t>七、承诺</w:t>
      </w:r>
      <w:bookmarkEnd w:id="51"/>
    </w:p>
    <w:p>
      <w:pPr>
        <w:snapToGrid w:val="0"/>
        <w:spacing w:line="360" w:lineRule="auto"/>
        <w:ind w:firstLine="420" w:firstLineChars="200"/>
        <w:rPr>
          <w:rFonts w:cs="宋体"/>
          <w:bCs/>
          <w:color w:val="auto"/>
          <w:sz w:val="21"/>
          <w:szCs w:val="21"/>
        </w:rPr>
      </w:pPr>
      <w:r>
        <w:rPr>
          <w:rFonts w:hint="eastAsia" w:cs="宋体"/>
          <w:bCs/>
          <w:color w:val="auto"/>
          <w:sz w:val="21"/>
          <w:szCs w:val="21"/>
        </w:rPr>
        <w:t>1. 发包人承诺按照法律规定履行项目审批手续、筹集工程建设资金并按照合同约定的期限和方式支付合同价款。</w:t>
      </w:r>
    </w:p>
    <w:p>
      <w:pPr>
        <w:snapToGrid w:val="0"/>
        <w:spacing w:line="360" w:lineRule="auto"/>
        <w:ind w:firstLine="420" w:firstLineChars="200"/>
        <w:rPr>
          <w:rFonts w:cs="宋体"/>
          <w:bCs/>
          <w:color w:val="auto"/>
          <w:sz w:val="21"/>
          <w:szCs w:val="21"/>
        </w:rPr>
      </w:pPr>
      <w:r>
        <w:rPr>
          <w:rFonts w:hint="eastAsia" w:cs="宋体"/>
          <w:bCs/>
          <w:color w:val="auto"/>
          <w:sz w:val="21"/>
          <w:szCs w:val="21"/>
        </w:rPr>
        <w:t>2. 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Fonts w:cs="宋体"/>
          <w:bCs/>
          <w:color w:val="auto"/>
          <w:sz w:val="21"/>
          <w:szCs w:val="21"/>
        </w:rPr>
      </w:pPr>
      <w:r>
        <w:rPr>
          <w:rFonts w:hint="eastAsia" w:cs="宋体"/>
          <w:bCs/>
          <w:color w:val="auto"/>
          <w:sz w:val="21"/>
          <w:szCs w:val="21"/>
        </w:rPr>
        <w:t>3. 发包人和承包人通过招投标形式签订合同的，双方理解并承诺不再就同一工程另行签订与合同实质性内容相背离的协议。</w:t>
      </w:r>
    </w:p>
    <w:p>
      <w:pPr>
        <w:snapToGrid w:val="0"/>
        <w:spacing w:line="360" w:lineRule="auto"/>
        <w:ind w:firstLine="422" w:firstLineChars="200"/>
        <w:rPr>
          <w:rFonts w:cs="宋体"/>
          <w:b/>
          <w:color w:val="auto"/>
          <w:sz w:val="21"/>
          <w:szCs w:val="21"/>
        </w:rPr>
      </w:pPr>
      <w:bookmarkStart w:id="52" w:name="_Toc351203488"/>
      <w:r>
        <w:rPr>
          <w:rFonts w:hint="eastAsia" w:cs="宋体"/>
          <w:b/>
          <w:color w:val="auto"/>
          <w:sz w:val="21"/>
          <w:szCs w:val="21"/>
        </w:rPr>
        <w:t>八、词语含义</w:t>
      </w:r>
      <w:bookmarkEnd w:id="52"/>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本协议书中词语含义与第二部分通用合同条款中赋予的含义相同。</w:t>
      </w:r>
    </w:p>
    <w:p>
      <w:pPr>
        <w:snapToGrid w:val="0"/>
        <w:spacing w:line="360" w:lineRule="auto"/>
        <w:ind w:firstLine="422" w:firstLineChars="200"/>
        <w:rPr>
          <w:rFonts w:cs="宋体"/>
          <w:b/>
          <w:color w:val="auto"/>
          <w:sz w:val="21"/>
          <w:szCs w:val="21"/>
        </w:rPr>
      </w:pPr>
      <w:bookmarkStart w:id="53" w:name="_Toc351203489"/>
      <w:r>
        <w:rPr>
          <w:rFonts w:hint="eastAsia" w:cs="宋体"/>
          <w:b/>
          <w:color w:val="auto"/>
          <w:sz w:val="21"/>
          <w:szCs w:val="21"/>
        </w:rPr>
        <w:t>九、签订时间</w:t>
      </w:r>
      <w:bookmarkEnd w:id="53"/>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本合同于</w:t>
      </w:r>
      <w:r>
        <w:rPr>
          <w:rFonts w:hint="eastAsia" w:cs="宋体"/>
          <w:bCs/>
          <w:color w:val="auto"/>
          <w:sz w:val="21"/>
          <w:szCs w:val="21"/>
          <w:u w:val="single"/>
        </w:rPr>
        <w:t xml:space="preserve">         </w:t>
      </w:r>
      <w:r>
        <w:rPr>
          <w:rFonts w:hint="eastAsia" w:cs="宋体"/>
          <w:bCs/>
          <w:color w:val="auto"/>
          <w:sz w:val="21"/>
          <w:szCs w:val="21"/>
        </w:rPr>
        <w:t>年</w:t>
      </w:r>
      <w:r>
        <w:rPr>
          <w:rFonts w:hint="eastAsia" w:cs="宋体"/>
          <w:bCs/>
          <w:color w:val="auto"/>
          <w:sz w:val="21"/>
          <w:szCs w:val="21"/>
          <w:u w:val="single"/>
        </w:rPr>
        <w:t xml:space="preserve">    </w:t>
      </w:r>
      <w:r>
        <w:rPr>
          <w:rFonts w:hint="eastAsia" w:cs="宋体"/>
          <w:bCs/>
          <w:color w:val="auto"/>
          <w:sz w:val="21"/>
          <w:szCs w:val="21"/>
        </w:rPr>
        <w:t>月</w:t>
      </w:r>
      <w:r>
        <w:rPr>
          <w:rFonts w:hint="eastAsia" w:cs="宋体"/>
          <w:bCs/>
          <w:color w:val="auto"/>
          <w:sz w:val="21"/>
          <w:szCs w:val="21"/>
          <w:u w:val="single"/>
        </w:rPr>
        <w:t xml:space="preserve">    </w:t>
      </w:r>
      <w:r>
        <w:rPr>
          <w:rFonts w:hint="eastAsia" w:cs="宋体"/>
          <w:bCs/>
          <w:color w:val="auto"/>
          <w:sz w:val="21"/>
          <w:szCs w:val="21"/>
        </w:rPr>
        <w:t>日签订。</w:t>
      </w:r>
    </w:p>
    <w:p>
      <w:pPr>
        <w:snapToGrid w:val="0"/>
        <w:spacing w:line="360" w:lineRule="auto"/>
        <w:ind w:firstLine="422" w:firstLineChars="200"/>
        <w:rPr>
          <w:rFonts w:cs="宋体"/>
          <w:b/>
          <w:color w:val="auto"/>
          <w:sz w:val="21"/>
          <w:szCs w:val="21"/>
        </w:rPr>
      </w:pPr>
      <w:bookmarkStart w:id="54" w:name="_Toc351203490"/>
      <w:r>
        <w:rPr>
          <w:rFonts w:hint="eastAsia" w:cs="宋体"/>
          <w:b/>
          <w:color w:val="auto"/>
          <w:sz w:val="21"/>
          <w:szCs w:val="21"/>
        </w:rPr>
        <w:t>十、签订地点</w:t>
      </w:r>
      <w:bookmarkEnd w:id="54"/>
    </w:p>
    <w:p>
      <w:pPr>
        <w:snapToGrid w:val="0"/>
        <w:spacing w:line="360" w:lineRule="auto"/>
        <w:ind w:firstLine="420" w:firstLineChars="200"/>
        <w:rPr>
          <w:rFonts w:cs="宋体"/>
          <w:bCs/>
          <w:color w:val="auto"/>
          <w:sz w:val="21"/>
          <w:szCs w:val="21"/>
        </w:rPr>
      </w:pPr>
      <w:r>
        <w:rPr>
          <w:rFonts w:hint="eastAsia" w:cs="宋体"/>
          <w:bCs/>
          <w:color w:val="auto"/>
          <w:sz w:val="21"/>
          <w:szCs w:val="21"/>
        </w:rPr>
        <w:t>本合同在</w:t>
      </w:r>
      <w:r>
        <w:rPr>
          <w:rFonts w:hint="eastAsia" w:cs="宋体"/>
          <w:bCs/>
          <w:color w:val="auto"/>
          <w:sz w:val="21"/>
          <w:szCs w:val="21"/>
          <w:u w:val="single"/>
        </w:rPr>
        <w:t xml:space="preserve">                                    </w:t>
      </w:r>
      <w:r>
        <w:rPr>
          <w:rFonts w:hint="eastAsia" w:cs="宋体"/>
          <w:bCs/>
          <w:color w:val="auto"/>
          <w:sz w:val="21"/>
          <w:szCs w:val="21"/>
        </w:rPr>
        <w:t>签订。</w:t>
      </w:r>
    </w:p>
    <w:p>
      <w:pPr>
        <w:snapToGrid w:val="0"/>
        <w:spacing w:line="360" w:lineRule="auto"/>
        <w:ind w:firstLine="422" w:firstLineChars="200"/>
        <w:rPr>
          <w:rFonts w:cs="宋体"/>
          <w:b/>
          <w:color w:val="auto"/>
          <w:sz w:val="21"/>
          <w:szCs w:val="21"/>
        </w:rPr>
      </w:pPr>
      <w:bookmarkStart w:id="55" w:name="_Toc351203491"/>
      <w:r>
        <w:rPr>
          <w:rFonts w:hint="eastAsia" w:cs="宋体"/>
          <w:b/>
          <w:color w:val="auto"/>
          <w:sz w:val="21"/>
          <w:szCs w:val="21"/>
        </w:rPr>
        <w:t>十一、补充协议</w:t>
      </w:r>
      <w:bookmarkEnd w:id="55"/>
    </w:p>
    <w:p>
      <w:pPr>
        <w:snapToGrid w:val="0"/>
        <w:spacing w:line="360" w:lineRule="auto"/>
        <w:ind w:firstLine="420" w:firstLineChars="200"/>
        <w:rPr>
          <w:rFonts w:cs="宋体"/>
          <w:b/>
          <w:bCs/>
          <w:color w:val="auto"/>
          <w:sz w:val="21"/>
          <w:szCs w:val="21"/>
        </w:rPr>
      </w:pPr>
      <w:r>
        <w:rPr>
          <w:rFonts w:hint="eastAsia" w:cs="宋体"/>
          <w:bCs/>
          <w:color w:val="auto"/>
          <w:sz w:val="21"/>
          <w:szCs w:val="21"/>
        </w:rPr>
        <w:t>合同未尽事宜，合同当事人另行签订补充协议，补充协议是合同的组成部分。</w:t>
      </w:r>
    </w:p>
    <w:p>
      <w:pPr>
        <w:snapToGrid w:val="0"/>
        <w:spacing w:line="360" w:lineRule="auto"/>
        <w:ind w:firstLine="422" w:firstLineChars="200"/>
        <w:rPr>
          <w:rFonts w:cs="宋体"/>
          <w:b/>
          <w:color w:val="auto"/>
          <w:sz w:val="21"/>
          <w:szCs w:val="21"/>
        </w:rPr>
      </w:pPr>
      <w:bookmarkStart w:id="56" w:name="_Toc351203492"/>
      <w:r>
        <w:rPr>
          <w:rFonts w:hint="eastAsia" w:cs="宋体"/>
          <w:b/>
          <w:color w:val="auto"/>
          <w:sz w:val="21"/>
          <w:szCs w:val="21"/>
        </w:rPr>
        <w:t>十二、合同生效</w:t>
      </w:r>
      <w:bookmarkEnd w:id="56"/>
    </w:p>
    <w:p>
      <w:pPr>
        <w:snapToGrid w:val="0"/>
        <w:spacing w:line="360" w:lineRule="auto"/>
        <w:ind w:firstLine="420" w:firstLineChars="200"/>
        <w:rPr>
          <w:rFonts w:cs="宋体"/>
          <w:bCs/>
          <w:color w:val="auto"/>
          <w:sz w:val="21"/>
          <w:szCs w:val="21"/>
        </w:rPr>
      </w:pPr>
      <w:r>
        <w:rPr>
          <w:rFonts w:hint="eastAsia" w:cs="宋体"/>
          <w:bCs/>
          <w:color w:val="auto"/>
          <w:sz w:val="21"/>
          <w:szCs w:val="21"/>
        </w:rPr>
        <w:t>本合同自</w:t>
      </w:r>
      <w:r>
        <w:rPr>
          <w:rFonts w:hint="eastAsia" w:cs="宋体"/>
          <w:bCs/>
          <w:color w:val="auto"/>
          <w:sz w:val="21"/>
          <w:szCs w:val="21"/>
          <w:u w:val="single"/>
        </w:rPr>
        <w:t xml:space="preserve">                                   </w:t>
      </w:r>
      <w:r>
        <w:rPr>
          <w:rFonts w:hint="eastAsia" w:cs="宋体"/>
          <w:bCs/>
          <w:color w:val="auto"/>
          <w:sz w:val="21"/>
          <w:szCs w:val="21"/>
        </w:rPr>
        <w:t>生效。</w:t>
      </w:r>
    </w:p>
    <w:p>
      <w:pPr>
        <w:snapToGrid w:val="0"/>
        <w:spacing w:line="360" w:lineRule="auto"/>
        <w:ind w:firstLine="422" w:firstLineChars="200"/>
        <w:rPr>
          <w:rFonts w:cs="宋体"/>
          <w:b/>
          <w:color w:val="auto"/>
          <w:sz w:val="21"/>
          <w:szCs w:val="21"/>
        </w:rPr>
      </w:pPr>
      <w:bookmarkStart w:id="57" w:name="_Toc351203493"/>
      <w:r>
        <w:rPr>
          <w:rFonts w:hint="eastAsia" w:cs="宋体"/>
          <w:b/>
          <w:color w:val="auto"/>
          <w:sz w:val="21"/>
          <w:szCs w:val="21"/>
        </w:rPr>
        <w:t>十三、合同份数</w:t>
      </w:r>
      <w:bookmarkEnd w:id="57"/>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本合同一式</w:t>
      </w:r>
      <w:r>
        <w:rPr>
          <w:rFonts w:hint="eastAsia" w:cs="宋体"/>
          <w:bCs/>
          <w:color w:val="auto"/>
          <w:sz w:val="21"/>
          <w:szCs w:val="21"/>
          <w:u w:val="single"/>
        </w:rPr>
        <w:t xml:space="preserve">    </w:t>
      </w:r>
      <w:r>
        <w:rPr>
          <w:rFonts w:hint="eastAsia" w:cs="宋体"/>
          <w:bCs/>
          <w:color w:val="auto"/>
          <w:sz w:val="21"/>
          <w:szCs w:val="21"/>
        </w:rPr>
        <w:t>份，均具有同等法律效力，发包人执</w:t>
      </w:r>
      <w:r>
        <w:rPr>
          <w:rFonts w:hint="eastAsia" w:cs="宋体"/>
          <w:bCs/>
          <w:color w:val="auto"/>
          <w:sz w:val="21"/>
          <w:szCs w:val="21"/>
          <w:u w:val="single"/>
        </w:rPr>
        <w:t xml:space="preserve">    </w:t>
      </w:r>
      <w:r>
        <w:rPr>
          <w:rFonts w:hint="eastAsia" w:cs="宋体"/>
          <w:bCs/>
          <w:color w:val="auto"/>
          <w:sz w:val="21"/>
          <w:szCs w:val="21"/>
        </w:rPr>
        <w:t>份，承包人执</w:t>
      </w:r>
      <w:r>
        <w:rPr>
          <w:rFonts w:hint="eastAsia" w:cs="宋体"/>
          <w:bCs/>
          <w:color w:val="auto"/>
          <w:sz w:val="21"/>
          <w:szCs w:val="21"/>
          <w:u w:val="single"/>
        </w:rPr>
        <w:t xml:space="preserve">    </w:t>
      </w:r>
      <w:r>
        <w:rPr>
          <w:rFonts w:hint="eastAsia" w:cs="宋体"/>
          <w:bCs/>
          <w:color w:val="auto"/>
          <w:sz w:val="21"/>
          <w:szCs w:val="21"/>
        </w:rPr>
        <w:t>份。</w:t>
      </w:r>
    </w:p>
    <w:p>
      <w:pPr>
        <w:snapToGrid w:val="0"/>
        <w:spacing w:line="360" w:lineRule="auto"/>
        <w:rPr>
          <w:rFonts w:cs="宋体"/>
          <w:bCs/>
          <w:color w:val="auto"/>
          <w:sz w:val="21"/>
          <w:szCs w:val="21"/>
        </w:rPr>
      </w:pPr>
    </w:p>
    <w:p>
      <w:pPr>
        <w:snapToGrid w:val="0"/>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    （</w:t>
      </w:r>
      <w:r>
        <w:rPr>
          <w:rFonts w:hint="eastAsia" w:cs="宋体"/>
          <w:color w:val="auto"/>
          <w:sz w:val="21"/>
          <w:szCs w:val="21"/>
        </w:rPr>
        <w:t>公章）                 承包人：</w:t>
      </w:r>
      <w:r>
        <w:rPr>
          <w:rFonts w:hint="eastAsia" w:cs="宋体"/>
          <w:color w:val="auto"/>
          <w:sz w:val="21"/>
          <w:szCs w:val="21"/>
          <w:u w:val="single"/>
        </w:rPr>
        <w:t>        （</w:t>
      </w:r>
      <w:r>
        <w:rPr>
          <w:rFonts w:hint="eastAsia" w:cs="宋体"/>
          <w:color w:val="auto"/>
          <w:sz w:val="21"/>
          <w:szCs w:val="21"/>
        </w:rPr>
        <w:t>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tabs>
          <w:tab w:val="left" w:pos="4410"/>
        </w:tabs>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58" w:name="_Toc130919121"/>
      <w:bookmarkStart w:id="59" w:name="_Toc28799377"/>
      <w:bookmarkStart w:id="60" w:name="_Toc8613"/>
      <w:r>
        <w:rPr>
          <w:rFonts w:hint="eastAsia" w:ascii="等线" w:hAnsi="等线" w:eastAsia="等线" w:cs="@仿宋_GB2312"/>
          <w:b/>
          <w:color w:val="auto"/>
          <w:kern w:val="2"/>
          <w:sz w:val="24"/>
        </w:rPr>
        <w:t>第二节  通用合同条款</w:t>
      </w:r>
      <w:bookmarkEnd w:id="58"/>
      <w:bookmarkEnd w:id="59"/>
      <w:bookmarkEnd w:id="60"/>
    </w:p>
    <w:p>
      <w:pPr>
        <w:spacing w:line="360" w:lineRule="auto"/>
        <w:ind w:firstLine="560" w:firstLineChars="200"/>
        <w:rPr>
          <w:rFonts w:cs="Times New Roman"/>
          <w:snapToGrid w:val="0"/>
          <w:color w:val="auto"/>
          <w:sz w:val="28"/>
          <w:szCs w:val="24"/>
        </w:rPr>
      </w:pPr>
      <w:r>
        <w:rPr>
          <w:rFonts w:hint="eastAsia" w:cs="Times New Roman"/>
          <w:snapToGrid w:val="0"/>
          <w:color w:val="auto"/>
          <w:sz w:val="28"/>
          <w:szCs w:val="24"/>
        </w:rPr>
        <w:t>采用《建设工程施工合同（示范文本）》（GF-2017-0201）中通用合同条款。上述资料由承包人自行准备。</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61" w:name="_Toc28799378"/>
      <w:bookmarkStart w:id="62" w:name="_Toc130919122"/>
      <w:bookmarkStart w:id="63" w:name="_Toc25217"/>
      <w:r>
        <w:rPr>
          <w:rFonts w:hint="eastAsia" w:ascii="等线" w:hAnsi="等线" w:eastAsia="等线" w:cs="@仿宋_GB2312"/>
          <w:b/>
          <w:color w:val="auto"/>
          <w:kern w:val="2"/>
          <w:sz w:val="24"/>
        </w:rPr>
        <w:t>第三节  专用合同条款</w:t>
      </w:r>
      <w:bookmarkEnd w:id="61"/>
      <w:bookmarkEnd w:id="62"/>
      <w:bookmarkEnd w:id="63"/>
    </w:p>
    <w:p>
      <w:pPr>
        <w:snapToGrid w:val="0"/>
        <w:spacing w:before="312" w:beforeLines="100" w:after="312" w:afterLines="100" w:line="360" w:lineRule="auto"/>
        <w:jc w:val="center"/>
        <w:outlineLvl w:val="2"/>
        <w:rPr>
          <w:rFonts w:cs="宋体"/>
          <w:color w:val="auto"/>
          <w:sz w:val="21"/>
          <w:szCs w:val="21"/>
        </w:rPr>
      </w:pPr>
      <w:bookmarkStart w:id="64" w:name="_Toc351203633"/>
      <w:r>
        <w:rPr>
          <w:rFonts w:hint="eastAsia" w:cs="宋体"/>
          <w:color w:val="auto"/>
          <w:sz w:val="21"/>
          <w:szCs w:val="21"/>
        </w:rPr>
        <w:t>专用合同条款数据表</w:t>
      </w:r>
    </w:p>
    <w:p>
      <w:pPr>
        <w:pStyle w:val="20"/>
        <w:snapToGrid w:val="0"/>
        <w:spacing w:line="360" w:lineRule="auto"/>
        <w:ind w:left="400" w:firstLine="480"/>
        <w:rPr>
          <w:rFonts w:ascii="宋体" w:hAnsi="宋体" w:cs="宋体"/>
          <w:color w:val="auto"/>
          <w:szCs w:val="21"/>
        </w:rPr>
      </w:pPr>
      <w:r>
        <w:rPr>
          <w:rFonts w:hint="eastAsia" w:ascii="宋体" w:hAnsi="宋体" w:cs="宋体"/>
          <w:color w:val="auto"/>
          <w:szCs w:val="21"/>
        </w:rPr>
        <w:t>说明：本数据表是项目专用合同条款中适用于本招标项目的信息和数据的归纳与提示，是项目专用合同条款的组成部分。</w:t>
      </w:r>
    </w:p>
    <w:tbl>
      <w:tblPr>
        <w:tblStyle w:val="53"/>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pPr>
              <w:snapToGrid w:val="0"/>
              <w:spacing w:before="100" w:beforeAutospacing="1" w:line="360" w:lineRule="auto"/>
              <w:ind w:left="-100" w:leftChars="-50" w:right="-100" w:rightChars="-50"/>
              <w:jc w:val="center"/>
              <w:rPr>
                <w:rFonts w:cs="宋体"/>
                <w:b/>
                <w:color w:val="auto"/>
                <w:sz w:val="21"/>
                <w:szCs w:val="21"/>
              </w:rPr>
            </w:pPr>
            <w:r>
              <w:rPr>
                <w:rFonts w:hint="eastAsia" w:cs="宋体"/>
                <w:b/>
                <w:color w:val="auto"/>
                <w:sz w:val="21"/>
                <w:szCs w:val="21"/>
              </w:rPr>
              <w:t>序号</w:t>
            </w:r>
          </w:p>
        </w:tc>
        <w:tc>
          <w:tcPr>
            <w:tcW w:w="1111" w:type="dxa"/>
            <w:vAlign w:val="center"/>
          </w:tcPr>
          <w:p>
            <w:pPr>
              <w:snapToGrid w:val="0"/>
              <w:spacing w:line="360" w:lineRule="auto"/>
              <w:ind w:left="-100" w:leftChars="-50" w:right="-100" w:rightChars="-50"/>
              <w:jc w:val="center"/>
              <w:rPr>
                <w:rFonts w:cs="宋体"/>
                <w:b/>
                <w:color w:val="auto"/>
                <w:sz w:val="21"/>
                <w:szCs w:val="21"/>
              </w:rPr>
            </w:pPr>
            <w:r>
              <w:rPr>
                <w:rFonts w:hint="eastAsia" w:cs="宋体"/>
                <w:b/>
                <w:color w:val="auto"/>
                <w:sz w:val="21"/>
                <w:szCs w:val="21"/>
              </w:rPr>
              <w:t>条目号</w:t>
            </w:r>
          </w:p>
        </w:tc>
        <w:tc>
          <w:tcPr>
            <w:tcW w:w="7304" w:type="dxa"/>
            <w:vAlign w:val="center"/>
          </w:tcPr>
          <w:p>
            <w:pPr>
              <w:snapToGrid w:val="0"/>
              <w:spacing w:line="360" w:lineRule="auto"/>
              <w:jc w:val="center"/>
              <w:rPr>
                <w:rFonts w:cs="宋体"/>
                <w:b/>
                <w:color w:val="auto"/>
                <w:sz w:val="21"/>
                <w:szCs w:val="21"/>
              </w:rPr>
            </w:pPr>
            <w:r>
              <w:rPr>
                <w:rFonts w:hint="eastAsia" w:cs="宋体"/>
                <w:b/>
                <w:color w:val="auto"/>
                <w:sz w:val="21"/>
                <w:szCs w:val="21"/>
              </w:rPr>
              <w:t>信息或数据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2.5</w:t>
            </w:r>
          </w:p>
        </w:tc>
        <w:tc>
          <w:tcPr>
            <w:tcW w:w="7304" w:type="dxa"/>
            <w:vAlign w:val="center"/>
          </w:tcPr>
          <w:p>
            <w:pPr>
              <w:snapToGrid w:val="0"/>
              <w:spacing w:line="360" w:lineRule="auto"/>
              <w:rPr>
                <w:rFonts w:cs="宋体"/>
                <w:bCs/>
                <w:color w:val="auto"/>
                <w:sz w:val="21"/>
                <w:szCs w:val="21"/>
                <w:u w:val="single"/>
              </w:rPr>
            </w:pPr>
            <w:r>
              <w:rPr>
                <w:rFonts w:hint="eastAsia" w:cs="宋体"/>
                <w:bCs/>
                <w:color w:val="auto"/>
                <w:sz w:val="21"/>
                <w:szCs w:val="21"/>
              </w:rPr>
              <w:t xml:space="preserve">发包人提供资金来源证明的期限要求： </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 xml:space="preserve">发包人是否提供支付担保：  </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发包人提供支付担保的形式：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3.2.1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项目经理</w:t>
            </w:r>
          </w:p>
          <w:p>
            <w:pPr>
              <w:snapToGrid w:val="0"/>
              <w:spacing w:line="360" w:lineRule="auto"/>
              <w:rPr>
                <w:rFonts w:cs="宋体"/>
                <w:bCs/>
                <w:color w:val="auto"/>
                <w:sz w:val="21"/>
                <w:szCs w:val="21"/>
              </w:rPr>
            </w:pPr>
            <w:r>
              <w:rPr>
                <w:rFonts w:hint="eastAsia" w:cs="宋体"/>
                <w:bCs/>
                <w:color w:val="auto"/>
                <w:sz w:val="21"/>
                <w:szCs w:val="21"/>
              </w:rPr>
              <w:t>姓    名：</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身份证号：</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建造师执业资格等级：</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建造师注册证书号：</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承包人对项目经理的授权范围如下：</w:t>
            </w:r>
            <w:r>
              <w:rPr>
                <w:rFonts w:hint="eastAsia" w:cs="宋体"/>
                <w:bCs/>
                <w:color w:val="auto"/>
                <w:sz w:val="21"/>
                <w:szCs w:val="21"/>
                <w:u w:val="single"/>
              </w:rPr>
              <w:t xml:space="preserve">            </w:t>
            </w:r>
          </w:p>
          <w:p>
            <w:pPr>
              <w:snapToGrid w:val="0"/>
              <w:spacing w:line="360" w:lineRule="auto"/>
              <w:rPr>
                <w:rFonts w:cs="宋体"/>
                <w:bCs/>
                <w:color w:val="auto"/>
                <w:kern w:val="2"/>
                <w:sz w:val="21"/>
                <w:szCs w:val="21"/>
              </w:rPr>
            </w:pPr>
            <w:r>
              <w:rPr>
                <w:rFonts w:hint="eastAsia" w:cs="宋体"/>
                <w:bCs/>
                <w:color w:val="auto"/>
                <w:sz w:val="21"/>
                <w:szCs w:val="21"/>
              </w:rPr>
              <w:t>承包人项目经理每月在施工现场的时间：驻场时间每月不少于</w:t>
            </w:r>
            <w:r>
              <w:rPr>
                <w:rFonts w:hint="eastAsia" w:cs="宋体"/>
                <w:bCs/>
                <w:color w:val="auto"/>
                <w:sz w:val="21"/>
                <w:szCs w:val="21"/>
                <w:u w:val="single"/>
              </w:rPr>
              <w:t xml:space="preserve">   </w:t>
            </w:r>
            <w:r>
              <w:rPr>
                <w:rFonts w:hint="eastAsia" w:cs="宋体"/>
                <w:bCs/>
                <w:color w:val="auto"/>
                <w:sz w:val="21"/>
                <w:szCs w:val="21"/>
              </w:rPr>
              <w:t>天，每天在岗工作时间不得少于</w:t>
            </w:r>
            <w:r>
              <w:rPr>
                <w:rFonts w:hint="eastAsia" w:cs="宋体"/>
                <w:bCs/>
                <w:color w:val="auto"/>
                <w:sz w:val="21"/>
                <w:szCs w:val="21"/>
                <w:u w:val="single"/>
              </w:rPr>
              <w:t xml:space="preserve">    </w:t>
            </w:r>
            <w:r>
              <w:rPr>
                <w:rFonts w:hint="eastAsia" w:cs="宋体"/>
                <w:bCs/>
                <w:color w:val="auto"/>
                <w:sz w:val="21"/>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3.7</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承包人是否提供履约保证金：</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承包人提供履约保证金的形式：</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履约保证金的金额：中标合同金额的</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履约保证金提交期限的要求：签订合同前。</w:t>
            </w:r>
          </w:p>
          <w:p>
            <w:pPr>
              <w:snapToGrid w:val="0"/>
              <w:spacing w:line="360" w:lineRule="auto"/>
              <w:rPr>
                <w:rFonts w:cs="宋体"/>
                <w:bCs/>
                <w:color w:val="auto"/>
                <w:kern w:val="2"/>
                <w:sz w:val="21"/>
                <w:szCs w:val="21"/>
              </w:rPr>
            </w:pPr>
            <w:r>
              <w:rPr>
                <w:rFonts w:hint="eastAsia" w:cs="宋体"/>
                <w:bCs/>
                <w:color w:val="auto"/>
                <w:sz w:val="21"/>
                <w:szCs w:val="21"/>
              </w:rPr>
              <w:t>履约保证金退还时限：</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5.1.1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5.1.1 特殊质量标准和要求：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关于工程奖项的约定：</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关于建造要求：</w:t>
            </w:r>
          </w:p>
          <w:p>
            <w:pPr>
              <w:snapToGrid w:val="0"/>
              <w:spacing w:line="360" w:lineRule="auto"/>
              <w:rPr>
                <w:rFonts w:cs="宋体"/>
                <w:bCs/>
                <w:color w:val="auto"/>
                <w:sz w:val="21"/>
                <w:szCs w:val="21"/>
              </w:rPr>
            </w:pPr>
            <w:r>
              <w:rPr>
                <w:rFonts w:hint="eastAsia" w:cs="宋体"/>
                <w:bCs/>
                <w:color w:val="auto"/>
                <w:sz w:val="21"/>
                <w:szCs w:val="21"/>
              </w:rPr>
              <w:t>（1）绿色建筑等级要求：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（2）智慧工地管理要求：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（3）建筑垃圾减量化目标：</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（4）装配式建筑装配率要求：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（5）</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7.5.2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因承包人原因造成工期延误，逾期竣工违约金的计算方法为：</w:t>
            </w:r>
            <w:r>
              <w:rPr>
                <w:rFonts w:hint="eastAsia" w:cs="宋体"/>
                <w:bCs/>
                <w:color w:val="auto"/>
                <w:kern w:val="2"/>
                <w:sz w:val="21"/>
                <w:szCs w:val="21"/>
                <w:u w:val="single"/>
              </w:rPr>
              <w:t xml:space="preserve">      </w:t>
            </w:r>
            <w:r>
              <w:rPr>
                <w:rFonts w:hint="eastAsia" w:cs="宋体"/>
                <w:bCs/>
                <w:color w:val="auto"/>
                <w:kern w:val="2"/>
                <w:sz w:val="21"/>
                <w:szCs w:val="21"/>
              </w:rPr>
              <w:t>。</w:t>
            </w:r>
          </w:p>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因承包人原因造成工期延误，逾期竣工违约金的上限：</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7.9.2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color w:val="auto"/>
                <w:sz w:val="21"/>
                <w:szCs w:val="21"/>
              </w:rPr>
              <w:t>提前竣工的奖励：</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11.1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kern w:val="2"/>
                <w:sz w:val="21"/>
                <w:szCs w:val="21"/>
              </w:rPr>
            </w:pPr>
            <w:r>
              <w:rPr>
                <w:rFonts w:hint="eastAsia" w:cs="宋体"/>
                <w:bCs/>
                <w:color w:val="auto"/>
                <w:kern w:val="2"/>
                <w:sz w:val="21"/>
                <w:szCs w:val="21"/>
              </w:rPr>
              <w:t>市场价格波动是否调整合同价格的约定：</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合同价格形式</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(1)单价合同。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综合单价包含的风险范围：</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(2)总价合同。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总价包含的风险范围：</w:t>
            </w:r>
            <w:r>
              <w:rPr>
                <w:rFonts w:hint="eastAsia" w:cs="宋体"/>
                <w:bCs/>
                <w:color w:val="auto"/>
                <w:sz w:val="21"/>
                <w:szCs w:val="21"/>
                <w:u w:val="single"/>
              </w:rPr>
              <w:t xml:space="preserve">                                    </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（3）其他价格方式：</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 xml:space="preserve">12.2.1 </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预付款的支付</w:t>
            </w:r>
          </w:p>
          <w:p>
            <w:pPr>
              <w:adjustRightInd w:val="0"/>
              <w:snapToGrid w:val="0"/>
              <w:spacing w:line="360" w:lineRule="auto"/>
              <w:rPr>
                <w:rFonts w:cs="宋体"/>
                <w:bCs/>
                <w:color w:val="auto"/>
                <w:sz w:val="21"/>
                <w:szCs w:val="21"/>
              </w:rPr>
            </w:pPr>
            <w:r>
              <w:rPr>
                <w:rFonts w:hint="eastAsia" w:cs="宋体"/>
                <w:bCs/>
                <w:color w:val="auto"/>
                <w:sz w:val="21"/>
                <w:szCs w:val="21"/>
              </w:rPr>
              <w:t>预付款支付比例或金额：</w:t>
            </w:r>
            <w:r>
              <w:rPr>
                <w:rFonts w:hint="eastAsia" w:cs="宋体"/>
                <w:bCs/>
                <w:color w:val="auto"/>
                <w:sz w:val="21"/>
                <w:szCs w:val="21"/>
                <w:u w:val="single"/>
              </w:rPr>
              <w:t xml:space="preserve">          </w:t>
            </w:r>
          </w:p>
          <w:p>
            <w:pPr>
              <w:adjustRightInd w:val="0"/>
              <w:snapToGrid w:val="0"/>
              <w:spacing w:line="360" w:lineRule="auto"/>
              <w:rPr>
                <w:rFonts w:cs="宋体"/>
                <w:bCs/>
                <w:color w:val="auto"/>
                <w:sz w:val="21"/>
                <w:szCs w:val="21"/>
              </w:rPr>
            </w:pPr>
            <w:r>
              <w:rPr>
                <w:rFonts w:hint="eastAsia" w:cs="宋体"/>
                <w:bCs/>
                <w:color w:val="auto"/>
                <w:sz w:val="21"/>
                <w:szCs w:val="21"/>
              </w:rPr>
              <w:t>预付款支付期限：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预付款扣回的方式：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12.2.2</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预付款担保</w:t>
            </w:r>
          </w:p>
          <w:p>
            <w:pPr>
              <w:adjustRightInd w:val="0"/>
              <w:snapToGrid w:val="0"/>
              <w:spacing w:line="360" w:lineRule="auto"/>
              <w:rPr>
                <w:rFonts w:cs="宋体"/>
                <w:bCs/>
                <w:color w:val="auto"/>
                <w:sz w:val="21"/>
                <w:szCs w:val="21"/>
              </w:rPr>
            </w:pPr>
            <w:r>
              <w:rPr>
                <w:rFonts w:hint="eastAsia" w:cs="宋体"/>
                <w:bCs/>
                <w:color w:val="auto"/>
                <w:sz w:val="21"/>
                <w:szCs w:val="21"/>
              </w:rPr>
              <w:t>承包人提交预付款担保的期限：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预付款担保的形式为：</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12.4.1</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付款周期</w:t>
            </w:r>
          </w:p>
          <w:p>
            <w:pPr>
              <w:adjustRightInd w:val="0"/>
              <w:snapToGrid w:val="0"/>
              <w:spacing w:line="360" w:lineRule="auto"/>
              <w:rPr>
                <w:rFonts w:cs="宋体"/>
                <w:bCs/>
                <w:color w:val="auto"/>
                <w:sz w:val="21"/>
                <w:szCs w:val="21"/>
              </w:rPr>
            </w:pPr>
            <w:r>
              <w:rPr>
                <w:rFonts w:hint="eastAsia" w:cs="宋体"/>
                <w:bCs/>
                <w:color w:val="auto"/>
                <w:sz w:val="21"/>
                <w:szCs w:val="21"/>
              </w:rPr>
              <w:t>关于付款周期的约定：</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15.2.1</w:t>
            </w:r>
          </w:p>
        </w:tc>
        <w:tc>
          <w:tcPr>
            <w:tcW w:w="7304" w:type="dxa"/>
            <w:vAlign w:val="center"/>
          </w:tcPr>
          <w:p>
            <w:pPr>
              <w:snapToGrid w:val="0"/>
              <w:spacing w:line="360" w:lineRule="auto"/>
              <w:rPr>
                <w:rFonts w:cs="宋体"/>
                <w:bCs/>
                <w:color w:val="auto"/>
                <w:kern w:val="2"/>
                <w:sz w:val="21"/>
                <w:szCs w:val="21"/>
              </w:rPr>
            </w:pPr>
            <w:r>
              <w:rPr>
                <w:rFonts w:hint="eastAsia" w:cs="宋体"/>
                <w:color w:val="auto"/>
                <w:sz w:val="21"/>
                <w:szCs w:val="21"/>
              </w:rPr>
              <w:t>缺陷责任期的具体期限：</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15.3.1</w:t>
            </w:r>
          </w:p>
        </w:tc>
        <w:tc>
          <w:tcPr>
            <w:tcW w:w="7304" w:type="dxa"/>
            <w:vAlign w:val="center"/>
          </w:tcPr>
          <w:p>
            <w:pPr>
              <w:adjustRightInd w:val="0"/>
              <w:snapToGrid w:val="0"/>
              <w:spacing w:line="360" w:lineRule="auto"/>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 xml:space="preserve">（2） </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 xml:space="preserve">             。</w:t>
            </w:r>
          </w:p>
          <w:p>
            <w:pPr>
              <w:pStyle w:val="5"/>
              <w:snapToGrid w:val="0"/>
              <w:spacing w:line="360" w:lineRule="auto"/>
              <w:rPr>
                <w:rFonts w:cs="宋体"/>
                <w:bCs w:val="0"/>
                <w:color w:val="auto"/>
                <w:kern w:val="2"/>
                <w:sz w:val="21"/>
                <w:szCs w:val="21"/>
              </w:rPr>
            </w:pPr>
            <w:r>
              <w:rPr>
                <w:rFonts w:hint="eastAsia" w:cs="宋体"/>
                <w:bCs w:val="0"/>
                <w:color w:val="auto"/>
                <w:sz w:val="21"/>
                <w:szCs w:val="21"/>
              </w:rPr>
              <w:t>注：以现金形式提交质量保证金的（含从工程款中以扣留方式提交的），同时退还银行同期活期存款利息。</w:t>
            </w:r>
          </w:p>
        </w:tc>
      </w:tr>
    </w:tbl>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br w:type="page"/>
      </w:r>
      <w:r>
        <w:rPr>
          <w:rFonts w:hint="eastAsia" w:cs="宋体"/>
          <w:color w:val="auto"/>
          <w:sz w:val="21"/>
          <w:szCs w:val="21"/>
        </w:rPr>
        <w:t>1</w:t>
      </w:r>
      <w:bookmarkStart w:id="65" w:name="_Toc292559361"/>
      <w:bookmarkStart w:id="66" w:name="_Toc296944495"/>
      <w:bookmarkStart w:id="67" w:name="_Toc296347155"/>
      <w:bookmarkStart w:id="68" w:name="_Toc297048342"/>
      <w:bookmarkStart w:id="69" w:name="_Toc292559866"/>
      <w:bookmarkStart w:id="70" w:name="_Toc296503156"/>
      <w:bookmarkStart w:id="71" w:name="_Toc296890984"/>
      <w:bookmarkStart w:id="72" w:name="_Toc297120456"/>
      <w:bookmarkStart w:id="73" w:name="_Toc296346657"/>
      <w:bookmarkStart w:id="74" w:name="_Toc296891196"/>
      <w:r>
        <w:rPr>
          <w:rFonts w:hint="eastAsia" w:cs="宋体"/>
          <w:color w:val="auto"/>
          <w:sz w:val="21"/>
          <w:szCs w:val="21"/>
        </w:rPr>
        <w:t>. 一般约定</w:t>
      </w:r>
    </w:p>
    <w:bookmarkEnd w:id="65"/>
    <w:bookmarkEnd w:id="66"/>
    <w:bookmarkEnd w:id="67"/>
    <w:bookmarkEnd w:id="68"/>
    <w:bookmarkEnd w:id="69"/>
    <w:bookmarkEnd w:id="70"/>
    <w:bookmarkEnd w:id="71"/>
    <w:bookmarkEnd w:id="72"/>
    <w:bookmarkEnd w:id="73"/>
    <w:bookmarkEnd w:id="7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 词语定义与解释</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 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1.1.1.10 其他合同文件包括：</w:t>
      </w:r>
      <w:r>
        <w:rPr>
          <w:rFonts w:hint="eastAsia" w:cs="宋体"/>
          <w:color w:val="auto"/>
          <w:sz w:val="21"/>
          <w:szCs w:val="21"/>
          <w:u w:val="single"/>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 合同当事人及其他相关方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1.1.2.4 监理人：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1.1.2.5 设计人：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 工程和设备</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1.1.3.7 作为施工现场组成部分的其他场所包括：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1.1.3.9 永久占地包括：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1.1.3.10 临时占地包括：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1.3 法律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适用于合同的其他规范性文件：</w:t>
      </w:r>
      <w:r>
        <w:rPr>
          <w:rFonts w:hint="eastAsia" w:cs="宋体"/>
          <w:color w:val="auto"/>
          <w:sz w:val="21"/>
          <w:szCs w:val="21"/>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 标准和规范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1.4.1 适用于工程的标准规范包括：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1.4.2 发包人提供国外标准、规范的名称：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1.4.3 发包人对工程的技术标准和功能要求的特殊要求：</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 合同文件的优先顺序</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合同文件组成及优先顺序为：</w:t>
      </w:r>
      <w:r>
        <w:rPr>
          <w:rFonts w:hint="eastAsia" w:cs="宋体"/>
          <w:color w:val="auto"/>
          <w:sz w:val="21"/>
          <w:szCs w:val="21"/>
          <w:u w:val="single"/>
        </w:rPr>
        <w:t xml:space="preserve">          </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 图纸和承包人文件</w:t>
      </w:r>
      <w:r>
        <w:rPr>
          <w:rFonts w:hint="eastAsia" w:cs="宋体"/>
          <w:bCs/>
          <w:color w:val="auto"/>
          <w:sz w:val="21"/>
          <w:szCs w:val="21"/>
        </w:rPr>
        <w:tab/>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 图纸的提供和交底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发包人向承包人提供图纸的数量：</w:t>
      </w:r>
      <w:r>
        <w:rPr>
          <w:rFonts w:hint="eastAsia" w:cs="宋体"/>
          <w:color w:val="auto"/>
          <w:sz w:val="21"/>
          <w:szCs w:val="21"/>
          <w:u w:val="single"/>
        </w:rPr>
        <w:t>提供   套（含竣工图   套），不足的由承包人自行复制，费用自理；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1.6.4 承包人文件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需要由承包人提供的文件，包括：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承包人提供的文件的期限为：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承包人提供的文件的数量为：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承包人提供的文件的形式为：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发包人审批承包人文件的期限：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1.6.5 图纸和承包人文件的保管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关于图纸和承包人文件保管的约定：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 联络</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1.7.1 发包人和承包人应当在</w:t>
      </w:r>
      <w:r>
        <w:rPr>
          <w:rFonts w:hint="eastAsia" w:cs="宋体"/>
          <w:color w:val="auto"/>
          <w:sz w:val="21"/>
          <w:szCs w:val="21"/>
          <w:u w:val="single"/>
        </w:rPr>
        <w:t>7</w:t>
      </w:r>
      <w:r>
        <w:rPr>
          <w:rFonts w:hint="eastAsia" w:cs="宋体"/>
          <w:color w:val="auto"/>
          <w:sz w:val="21"/>
          <w:szCs w:val="21"/>
        </w:rPr>
        <w:t>天内将与合同有关的通知、批准、证明、证书、指示、指令、要求、请求、同意、意见、确定和决定等书面函件送达对方当事人。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1.7.2 发包人接收文件的地点：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监理人指定的接收人为：</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1.10 交通运输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75" w:name="_Toc312677986"/>
      <w:bookmarkStart w:id="76" w:name="_Toc318581155"/>
      <w:bookmarkStart w:id="77" w:name="_Toc300934943"/>
      <w:bookmarkStart w:id="78" w:name="_Toc303539100"/>
      <w:bookmarkStart w:id="79" w:name="_Toc304295521"/>
      <w:r>
        <w:rPr>
          <w:rFonts w:hint="eastAsia" w:cs="宋体"/>
          <w:color w:val="auto"/>
          <w:sz w:val="21"/>
          <w:szCs w:val="21"/>
        </w:rPr>
        <w:t>.10.1 出入现场的权利</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关于出入现场的权利的约定：</w:t>
      </w:r>
      <w:r>
        <w:rPr>
          <w:rFonts w:hint="eastAsia" w:cs="宋体"/>
          <w:color w:val="auto"/>
          <w:sz w:val="21"/>
          <w:szCs w:val="21"/>
          <w:u w:val="single"/>
        </w:rPr>
        <w:t xml:space="preserve">          </w:t>
      </w:r>
      <w:r>
        <w:rPr>
          <w:rFonts w:hint="eastAsia" w:cs="宋体"/>
          <w:color w:val="auto"/>
          <w:sz w:val="21"/>
          <w:szCs w:val="21"/>
        </w:rPr>
        <w:t>。</w:t>
      </w:r>
    </w:p>
    <w:bookmarkEnd w:id="75"/>
    <w:bookmarkEnd w:id="76"/>
    <w:bookmarkEnd w:id="77"/>
    <w:bookmarkEnd w:id="78"/>
    <w:bookmarkEnd w:id="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80" w:name="_Toc300934944"/>
      <w:bookmarkStart w:id="81" w:name="_Toc304295522"/>
      <w:bookmarkStart w:id="82" w:name="_Toc318581156"/>
      <w:bookmarkStart w:id="83" w:name="_Toc303539101"/>
      <w:bookmarkStart w:id="84" w:name="_Toc312677987"/>
      <w:r>
        <w:rPr>
          <w:rFonts w:hint="eastAsia" w:cs="宋体"/>
          <w:color w:val="auto"/>
          <w:sz w:val="21"/>
          <w:szCs w:val="21"/>
        </w:rPr>
        <w:t>.10.3 场内交通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关于场外交通和场内交通的边界的约定：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关于发包人向承包人免费提供满足工程施工需要的场内道路和交通设施的约定：</w:t>
      </w:r>
      <w:r>
        <w:rPr>
          <w:rFonts w:hint="eastAsia" w:cs="宋体"/>
          <w:color w:val="auto"/>
          <w:sz w:val="21"/>
          <w:szCs w:val="21"/>
          <w:u w:val="single"/>
        </w:rPr>
        <w:t xml:space="preserve">      </w:t>
      </w:r>
      <w:r>
        <w:rPr>
          <w:rFonts w:hint="eastAsia" w:cs="宋体"/>
          <w:color w:val="auto"/>
          <w:sz w:val="21"/>
          <w:szCs w:val="21"/>
        </w:rPr>
        <w:t>。</w:t>
      </w:r>
      <w:bookmarkEnd w:id="80"/>
      <w:bookmarkEnd w:id="81"/>
      <w:bookmarkEnd w:id="82"/>
      <w:bookmarkEnd w:id="83"/>
      <w:bookmarkEnd w:id="84"/>
      <w:bookmarkStart w:id="85" w:name="_Toc318581157"/>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1.10.4 超大件和超重件的运输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运输超大件或超重件所需的道路和桥梁临时加固改造费用和其他有关费用由</w:t>
      </w:r>
      <w:r>
        <w:rPr>
          <w:rFonts w:hint="eastAsia" w:cs="宋体"/>
          <w:color w:val="auto"/>
          <w:sz w:val="21"/>
          <w:szCs w:val="21"/>
          <w:u w:val="single"/>
        </w:rPr>
        <w:t xml:space="preserve">  </w:t>
      </w:r>
      <w:r>
        <w:rPr>
          <w:rFonts w:hint="eastAsia" w:cs="宋体"/>
          <w:color w:val="auto"/>
          <w:sz w:val="21"/>
          <w:szCs w:val="21"/>
        </w:rPr>
        <w:t>承担。</w:t>
      </w:r>
    </w:p>
    <w:bookmarkEnd w:id="8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1.11 知识产权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1.11.2 关于承包人为实施工程所编制文件的著作权的归属：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关于承包人提供的上述文件的使用限制的要求：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1.11.4 承包人在施工过程中所采用的专利、专有技术、技术秘密的使用费的承担方式：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1.13 工程量清单错误的修正</w:t>
      </w:r>
    </w:p>
    <w:p>
      <w:pPr>
        <w:adjustRightInd w:val="0"/>
        <w:snapToGrid w:val="0"/>
        <w:spacing w:line="360" w:lineRule="auto"/>
        <w:ind w:firstLine="420" w:firstLineChars="200"/>
        <w:rPr>
          <w:rFonts w:cs="宋体"/>
          <w:b/>
          <w:bCs/>
          <w:i/>
          <w:iCs/>
          <w:color w:val="auto"/>
          <w:kern w:val="2"/>
          <w:sz w:val="21"/>
          <w:szCs w:val="21"/>
        </w:rPr>
      </w:pPr>
      <w:r>
        <w:rPr>
          <w:rFonts w:hint="eastAsia" w:cs="宋体"/>
          <w:color w:val="auto"/>
          <w:sz w:val="21"/>
          <w:szCs w:val="21"/>
        </w:rPr>
        <w:t>出现工程量清单错误时，是否调整合同价格：</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adjustRightInd w:val="0"/>
        <w:snapToGrid w:val="0"/>
        <w:spacing w:line="360" w:lineRule="auto"/>
        <w:ind w:firstLine="420" w:firstLineChars="200"/>
        <w:rPr>
          <w:rFonts w:cs="宋体"/>
          <w:b/>
          <w:bCs/>
          <w:i/>
          <w:iCs/>
          <w:color w:val="auto"/>
          <w:kern w:val="2"/>
          <w:sz w:val="21"/>
          <w:szCs w:val="21"/>
          <w:shd w:val="clear" w:color="FFFFFF" w:fill="D9D9D9"/>
        </w:rPr>
      </w:pPr>
      <w:r>
        <w:rPr>
          <w:rFonts w:hint="eastAsia" w:cs="宋体"/>
          <w:color w:val="auto"/>
          <w:sz w:val="21"/>
          <w:szCs w:val="21"/>
        </w:rPr>
        <w:t>允许调整合同价格的工程量偏差范围：</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snapToGrid w:val="0"/>
        <w:spacing w:before="312" w:beforeLines="100" w:after="312" w:afterLines="100" w:line="360" w:lineRule="auto"/>
        <w:outlineLvl w:val="2"/>
        <w:rPr>
          <w:rFonts w:cs="宋体"/>
          <w:color w:val="auto"/>
          <w:sz w:val="21"/>
          <w:szCs w:val="21"/>
        </w:rPr>
      </w:pPr>
      <w:bookmarkStart w:id="86" w:name="_Toc351203634"/>
      <w:r>
        <w:rPr>
          <w:rFonts w:hint="eastAsia" w:cs="宋体"/>
          <w:color w:val="auto"/>
          <w:sz w:val="21"/>
          <w:szCs w:val="21"/>
        </w:rPr>
        <w:t>2</w:t>
      </w:r>
      <w:bookmarkStart w:id="87" w:name="_Toc296346658"/>
      <w:bookmarkStart w:id="88" w:name="_Toc296347156"/>
      <w:bookmarkStart w:id="89" w:name="_Toc296944496"/>
      <w:bookmarkStart w:id="90" w:name="_Toc296891197"/>
      <w:bookmarkStart w:id="91" w:name="_Toc296503157"/>
      <w:bookmarkStart w:id="92" w:name="_Toc296890985"/>
      <w:bookmarkStart w:id="93" w:name="_Toc297120457"/>
      <w:bookmarkStart w:id="94" w:name="_Toc292559867"/>
      <w:bookmarkStart w:id="95" w:name="_Toc292559362"/>
      <w:bookmarkStart w:id="96" w:name="_Toc297048343"/>
      <w:r>
        <w:rPr>
          <w:rFonts w:hint="eastAsia" w:cs="宋体"/>
          <w:color w:val="auto"/>
          <w:sz w:val="21"/>
          <w:szCs w:val="21"/>
        </w:rPr>
        <w:t>. 发包人</w:t>
      </w:r>
      <w:bookmarkEnd w:id="86"/>
    </w:p>
    <w:bookmarkEnd w:id="87"/>
    <w:bookmarkEnd w:id="88"/>
    <w:bookmarkEnd w:id="89"/>
    <w:bookmarkEnd w:id="90"/>
    <w:bookmarkEnd w:id="91"/>
    <w:bookmarkEnd w:id="92"/>
    <w:bookmarkEnd w:id="93"/>
    <w:bookmarkEnd w:id="94"/>
    <w:bookmarkEnd w:id="95"/>
    <w:bookmarkEnd w:id="9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2.2 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strike/>
          <w:color w:val="auto"/>
          <w:sz w:val="21"/>
          <w:szCs w:val="21"/>
        </w:rPr>
      </w:pPr>
      <w:r>
        <w:rPr>
          <w:rFonts w:hint="eastAsia" w:cs="宋体"/>
          <w:color w:val="auto"/>
          <w:sz w:val="21"/>
          <w:szCs w:val="21"/>
        </w:rPr>
        <w:t>发包人对发包人代表的授权范围如下：</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2.4 施工现场、施工条件和基础资料的提供</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2.4.1 提供施工现场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关于发包人移交施工现场的期限要求：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2.4.2 提供施工条件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关于发包人应负责提供施工所需要的条件，包括：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2.5 资金来源证明及支付担保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发包人提供资金来源证明的期限要求：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发包人是否提供支付担保：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发包人提供支付担保的形式：</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97" w:name="_Toc351203635"/>
      <w:r>
        <w:rPr>
          <w:rFonts w:hint="eastAsia" w:cs="宋体"/>
          <w:color w:val="auto"/>
          <w:sz w:val="21"/>
          <w:szCs w:val="21"/>
        </w:rPr>
        <w:t>3</w:t>
      </w:r>
      <w:bookmarkStart w:id="98" w:name="_Toc296890986"/>
      <w:bookmarkStart w:id="99" w:name="_Toc292559363"/>
      <w:bookmarkStart w:id="100" w:name="_Toc296891198"/>
      <w:bookmarkStart w:id="101" w:name="_Toc296346659"/>
      <w:bookmarkStart w:id="102" w:name="_Toc296503158"/>
      <w:bookmarkStart w:id="103" w:name="_Toc297048344"/>
      <w:bookmarkStart w:id="104" w:name="_Toc292559868"/>
      <w:bookmarkStart w:id="105" w:name="_Toc296944497"/>
      <w:bookmarkStart w:id="106" w:name="_Toc296347157"/>
      <w:bookmarkStart w:id="107" w:name="_Toc297120458"/>
      <w:r>
        <w:rPr>
          <w:rFonts w:hint="eastAsia" w:cs="宋体"/>
          <w:color w:val="auto"/>
          <w:sz w:val="21"/>
          <w:szCs w:val="21"/>
        </w:rPr>
        <w:t>. 承包人</w:t>
      </w:r>
      <w:bookmarkEnd w:id="97"/>
    </w:p>
    <w:bookmarkEnd w:id="98"/>
    <w:bookmarkEnd w:id="99"/>
    <w:bookmarkEnd w:id="100"/>
    <w:bookmarkEnd w:id="101"/>
    <w:bookmarkEnd w:id="102"/>
    <w:bookmarkEnd w:id="103"/>
    <w:bookmarkEnd w:id="104"/>
    <w:bookmarkEnd w:id="105"/>
    <w:bookmarkEnd w:id="106"/>
    <w:bookmarkEnd w:id="10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3.1 承包人的一般义务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（9）承包人提交的竣工资料的内容：</w:t>
      </w:r>
      <w:r>
        <w:rPr>
          <w:rFonts w:hint="eastAsia" w:cs="宋体"/>
          <w:color w:val="auto"/>
          <w:sz w:val="21"/>
          <w:szCs w:val="21"/>
          <w:u w:val="single"/>
        </w:rPr>
        <w:t>承包人提供全套竣工图，所有竣工图应为新图纸</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承包人需要提交的竣工资料套数：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承包人提交的竣工资料的费用承担：</w:t>
      </w:r>
      <w:r>
        <w:rPr>
          <w:rFonts w:hint="eastAsia" w:cs="宋体"/>
          <w:color w:val="auto"/>
          <w:sz w:val="21"/>
          <w:szCs w:val="21"/>
          <w:u w:val="single"/>
        </w:rPr>
        <w:t>承包人承担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承包人提交的竣工资料移交时间：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承包人提交的竣工资料形式要求：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（10）承包人应履行的其他义务：</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3.2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3.2.1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建造师执业资格等级：</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建造师注册证书号：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建造师执业印章号：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安全生产考核合格证书号：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承包人对项目经理的授权范围如下：</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关于项目经理每月在施工现场的时间要求：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承包人未提交劳动合同，以及没有为项目经理缴纳社会保险证明的违约责任：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项目经理未经批准，擅自离开施工现场的违约责任：</w:t>
      </w:r>
      <w:r>
        <w:rPr>
          <w:rFonts w:hint="eastAsia" w:cs="宋体"/>
          <w:color w:val="auto"/>
          <w:sz w:val="21"/>
          <w:szCs w:val="21"/>
          <w:u w:val="single"/>
        </w:rPr>
        <w:t>承包人未能按照承诺到岗尽职的，发包人将视情况严重程度对其作出相应处理，给予警告并发出整改通知。如仍未及时整改，发包人有权责令其停工整改直至解除合同。发包人还将停止支付工程款项，扣留任何未付的工程进度款项补偿发包人的有关损失或工期延误的损失，并就此向承包人索赔。</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3.2.3 承包人擅自更换项目经理的违约责任：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3.2.4 承包人无正当理由拒绝更换项目经理的违约责任：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3.3 承包人人员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3.3.1 承包人提交项目管理机构及施工现场管理人员安排报告的期限：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3.3.3 承包人无正当理由拒绝撤换主要施工管理人员的违约责任：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3.3.4 承包人主要施工管理人员离开施工现场的批准要求：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4" w:firstLineChars="202"/>
        <w:rPr>
          <w:rFonts w:cs="宋体"/>
          <w:color w:val="auto"/>
          <w:sz w:val="21"/>
          <w:szCs w:val="21"/>
        </w:rPr>
      </w:pPr>
      <w:r>
        <w:rPr>
          <w:rFonts w:hint="eastAsia" w:cs="宋体"/>
          <w:color w:val="auto"/>
          <w:sz w:val="21"/>
          <w:szCs w:val="21"/>
        </w:rPr>
        <w:t>3.3.5 承包人擅自更换主要施工管理人员的违约责任：</w:t>
      </w:r>
      <w:r>
        <w:rPr>
          <w:rFonts w:hint="eastAsia" w:cs="宋体"/>
          <w:color w:val="auto"/>
          <w:sz w:val="21"/>
          <w:szCs w:val="21"/>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承包人主要施工管理人员擅自离开施工现场的违约责任：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w:t>
      </w:r>
      <w:bookmarkStart w:id="108" w:name="_Toc292559869"/>
      <w:bookmarkStart w:id="109" w:name="_Toc292559364"/>
      <w:bookmarkStart w:id="110" w:name="_Toc300934945"/>
      <w:bookmarkStart w:id="111" w:name="_Toc297123492"/>
      <w:bookmarkStart w:id="112" w:name="_Toc297048345"/>
      <w:bookmarkStart w:id="113" w:name="_Toc296890987"/>
      <w:bookmarkStart w:id="114" w:name="_Toc304295523"/>
      <w:bookmarkStart w:id="115" w:name="_Toc296944498"/>
      <w:bookmarkStart w:id="116" w:name="_Toc296347158"/>
      <w:bookmarkStart w:id="117" w:name="_Toc296346660"/>
      <w:bookmarkStart w:id="118" w:name="_Toc296503159"/>
      <w:bookmarkStart w:id="119" w:name="_Toc297120459"/>
      <w:bookmarkStart w:id="120" w:name="_Toc312677988"/>
      <w:bookmarkStart w:id="121" w:name="_Toc296891199"/>
      <w:bookmarkStart w:id="122" w:name="_Toc303539102"/>
      <w:bookmarkStart w:id="123" w:name="_Toc297216151"/>
      <w:r>
        <w:rPr>
          <w:rFonts w:hint="eastAsia" w:cs="宋体"/>
          <w:bCs/>
          <w:color w:val="auto"/>
          <w:sz w:val="21"/>
          <w:szCs w:val="21"/>
        </w:rPr>
        <w:t>.5 分包</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24" w:name="_Toc296944499"/>
      <w:bookmarkStart w:id="125" w:name="_Toc296503160"/>
      <w:bookmarkStart w:id="126" w:name="_Toc296347159"/>
      <w:bookmarkStart w:id="127" w:name="_Toc292559365"/>
      <w:bookmarkStart w:id="128" w:name="_Toc297048346"/>
      <w:bookmarkStart w:id="129" w:name="_Toc300934946"/>
      <w:bookmarkStart w:id="130" w:name="_Toc297120460"/>
      <w:bookmarkStart w:id="131" w:name="_Toc303539103"/>
      <w:bookmarkStart w:id="132" w:name="_Toc297123493"/>
      <w:bookmarkStart w:id="133" w:name="_Toc292559870"/>
      <w:bookmarkStart w:id="134" w:name="_Toc296346661"/>
      <w:bookmarkStart w:id="135" w:name="_Toc297216152"/>
      <w:bookmarkStart w:id="136" w:name="_Toc304295524"/>
      <w:bookmarkStart w:id="137" w:name="_Toc296891200"/>
      <w:bookmarkStart w:id="138" w:name="_Toc296890988"/>
      <w:bookmarkStart w:id="139" w:name="_Toc318581158"/>
      <w:bookmarkStart w:id="140" w:name="_Toc312677989"/>
      <w:r>
        <w:rPr>
          <w:rFonts w:hint="eastAsia" w:cs="宋体"/>
          <w:color w:val="auto"/>
          <w:sz w:val="21"/>
          <w:szCs w:val="21"/>
        </w:rPr>
        <w:t>.5.1 分包的一般约定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禁止分包的工程包括：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主体结构、关键性工作的范围：</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Start w:id="141" w:name="_Toc297120461"/>
      <w:bookmarkStart w:id="142" w:name="_Toc297216153"/>
      <w:bookmarkStart w:id="143" w:name="_Toc297123494"/>
      <w:bookmarkStart w:id="144" w:name="_Toc304295525"/>
      <w:bookmarkStart w:id="145" w:name="_Toc296503161"/>
      <w:bookmarkStart w:id="146" w:name="_Toc296347160"/>
      <w:bookmarkStart w:id="147" w:name="_Toc296890989"/>
      <w:bookmarkStart w:id="148" w:name="_Toc296944500"/>
      <w:bookmarkStart w:id="149" w:name="_Toc296891201"/>
      <w:bookmarkStart w:id="150" w:name="_Toc300934947"/>
      <w:bookmarkStart w:id="151" w:name="_Toc297048347"/>
      <w:bookmarkStart w:id="152" w:name="_Toc296346662"/>
      <w:bookmarkStart w:id="153" w:name="_Toc303539104"/>
      <w:r>
        <w:rPr>
          <w:rFonts w:hint="eastAsia" w:cs="宋体"/>
          <w:color w:val="auto"/>
          <w:sz w:val="21"/>
          <w:szCs w:val="21"/>
          <w:u w:val="single"/>
        </w:rPr>
        <w:t xml:space="preserve">          </w:t>
      </w:r>
      <w:r>
        <w:rPr>
          <w:rFonts w:hint="eastAsia" w:cs="宋体"/>
          <w:color w:val="auto"/>
          <w:sz w:val="21"/>
          <w:szCs w:val="21"/>
        </w:rPr>
        <w:t>。</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54" w:name="_Toc312677990"/>
      <w:bookmarkStart w:id="155" w:name="_Toc318581159"/>
      <w:r>
        <w:rPr>
          <w:rFonts w:hint="eastAsia" w:cs="宋体"/>
          <w:color w:val="auto"/>
          <w:sz w:val="21"/>
          <w:szCs w:val="21"/>
        </w:rPr>
        <w:t>.5.2 分包的确定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允许分包的专业工程包括：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其他关于分包的约定：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3.5.4 分包合同价款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关于分包合同价款支付的约定：</w:t>
      </w:r>
      <w:r>
        <w:rPr>
          <w:rFonts w:hint="eastAsia" w:cs="宋体"/>
          <w:color w:val="auto"/>
          <w:sz w:val="21"/>
          <w:szCs w:val="21"/>
          <w:u w:val="single"/>
        </w:rPr>
        <w:t xml:space="preserve">          </w:t>
      </w:r>
      <w:r>
        <w:rPr>
          <w:rFonts w:hint="eastAsia" w:cs="宋体"/>
          <w:color w:val="auto"/>
          <w:sz w:val="21"/>
          <w:szCs w:val="21"/>
        </w:rPr>
        <w:t>。</w:t>
      </w:r>
    </w:p>
    <w:bookmarkEnd w:id="154"/>
    <w:bookmarkEnd w:id="15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3.6 工程照管与成品、半成品保护</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承包人负责照管工程及工程相关的材料、工程设备的起始时间：</w:t>
      </w:r>
      <w:r>
        <w:rPr>
          <w:rFonts w:hint="eastAsia" w:cs="宋体"/>
          <w:color w:val="auto"/>
          <w:sz w:val="21"/>
          <w:szCs w:val="21"/>
          <w:u w:val="single"/>
        </w:rPr>
        <w:t>自发包人向承包人移交施工现场之日起，承包人应负责照管工程及工程相关的材料、工程设备，直到颁发工程接收证书之日止。</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3.7 履约保证金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承包人是否提供履约保证金：</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left="-70" w:leftChars="-35" w:firstLine="497" w:firstLineChars="237"/>
        <w:rPr>
          <w:rFonts w:cs="宋体"/>
          <w:b/>
          <w:color w:val="auto"/>
          <w:sz w:val="21"/>
          <w:szCs w:val="21"/>
        </w:rPr>
      </w:pPr>
      <w:r>
        <w:rPr>
          <w:rFonts w:hint="eastAsia" w:cs="宋体"/>
          <w:color w:val="auto"/>
          <w:sz w:val="21"/>
          <w:szCs w:val="21"/>
        </w:rPr>
        <w:t>承包人提供履约保证金的形式：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履约保证金的金额：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履约保证金提交期限的要求：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strike/>
          <w:color w:val="auto"/>
          <w:sz w:val="21"/>
          <w:szCs w:val="21"/>
        </w:rPr>
      </w:pPr>
      <w:r>
        <w:rPr>
          <w:rFonts w:hint="eastAsia" w:cs="宋体"/>
          <w:bCs/>
          <w:snapToGrid w:val="0"/>
          <w:color w:val="auto"/>
          <w:sz w:val="21"/>
          <w:szCs w:val="21"/>
        </w:rPr>
        <w:t>履约保证金退还时限：</w:t>
      </w:r>
      <w:r>
        <w:rPr>
          <w:rFonts w:hint="eastAsia" w:cs="宋体"/>
          <w:color w:val="auto"/>
          <w:sz w:val="21"/>
          <w:szCs w:val="21"/>
          <w:u w:val="single"/>
        </w:rPr>
        <w:t>见《专用合同条款数据表》。</w:t>
      </w:r>
    </w:p>
    <w:p>
      <w:pPr>
        <w:snapToGrid w:val="0"/>
        <w:spacing w:before="312" w:beforeLines="100" w:after="312" w:afterLines="100" w:line="360" w:lineRule="auto"/>
        <w:outlineLvl w:val="2"/>
        <w:rPr>
          <w:rFonts w:cs="宋体"/>
          <w:color w:val="auto"/>
          <w:sz w:val="21"/>
          <w:szCs w:val="21"/>
        </w:rPr>
      </w:pPr>
      <w:bookmarkStart w:id="156" w:name="_Toc351203636"/>
      <w:r>
        <w:rPr>
          <w:rFonts w:hint="eastAsia" w:cs="宋体"/>
          <w:color w:val="auto"/>
          <w:sz w:val="21"/>
          <w:szCs w:val="21"/>
        </w:rPr>
        <w:t>4</w:t>
      </w:r>
      <w:bookmarkStart w:id="157" w:name="_Toc296890990"/>
      <w:bookmarkStart w:id="158" w:name="_Toc296503162"/>
      <w:bookmarkStart w:id="159" w:name="_Toc296944501"/>
      <w:bookmarkStart w:id="160" w:name="_Toc296891202"/>
      <w:bookmarkStart w:id="161" w:name="_Toc267251413"/>
      <w:bookmarkStart w:id="162" w:name="_Toc297120462"/>
      <w:bookmarkStart w:id="163" w:name="_Toc292559871"/>
      <w:bookmarkStart w:id="164" w:name="_Toc292559366"/>
      <w:bookmarkStart w:id="165" w:name="_Toc296347161"/>
      <w:bookmarkStart w:id="166" w:name="_Toc297048348"/>
      <w:bookmarkStart w:id="167" w:name="_Toc296346663"/>
      <w:r>
        <w:rPr>
          <w:rFonts w:hint="eastAsia" w:cs="宋体"/>
          <w:color w:val="auto"/>
          <w:sz w:val="21"/>
          <w:szCs w:val="21"/>
        </w:rPr>
        <w:t>. 监</w:t>
      </w:r>
      <w:bookmarkEnd w:id="157"/>
      <w:bookmarkEnd w:id="158"/>
      <w:bookmarkEnd w:id="159"/>
      <w:bookmarkEnd w:id="160"/>
      <w:bookmarkEnd w:id="161"/>
      <w:bookmarkEnd w:id="162"/>
      <w:bookmarkEnd w:id="163"/>
      <w:bookmarkEnd w:id="164"/>
      <w:bookmarkEnd w:id="165"/>
      <w:bookmarkEnd w:id="166"/>
      <w:bookmarkEnd w:id="167"/>
      <w:r>
        <w:rPr>
          <w:rFonts w:hint="eastAsia" w:cs="宋体"/>
          <w:color w:val="auto"/>
          <w:sz w:val="21"/>
          <w:szCs w:val="21"/>
        </w:rPr>
        <w:t>理人</w:t>
      </w:r>
      <w:bookmarkEnd w:id="156"/>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4.1 监理人的一般规定</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关于监理人的监理内容：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关于监理人的监理权限：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关于监理人在施工现场的办公场所、生活场所的提供和费用承担的约定：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4.2 监理人员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总监理工程师：</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监理工程师执业资格证书号：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关于监理人的其他约定：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4.4 商定或确定</w:t>
      </w:r>
    </w:p>
    <w:p>
      <w:pPr>
        <w:adjustRightInd w:val="0"/>
        <w:snapToGrid w:val="0"/>
        <w:spacing w:line="360" w:lineRule="auto"/>
        <w:ind w:firstLine="420" w:firstLineChars="200"/>
        <w:rPr>
          <w:rFonts w:cs="宋体"/>
          <w:color w:val="auto"/>
          <w:sz w:val="21"/>
          <w:szCs w:val="21"/>
        </w:rPr>
      </w:pPr>
      <w:bookmarkStart w:id="168" w:name="_Toc267251418"/>
      <w:r>
        <w:rPr>
          <w:rFonts w:hint="eastAsia" w:cs="宋体"/>
          <w:color w:val="auto"/>
          <w:sz w:val="21"/>
          <w:szCs w:val="21"/>
        </w:rPr>
        <w:t>在发包人和承包人不能通过协商达成一致意见时，发包人授权监理人对以下事项进行确定：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169" w:name="_Toc351203637"/>
      <w:r>
        <w:rPr>
          <w:rFonts w:hint="eastAsia" w:cs="宋体"/>
          <w:color w:val="auto"/>
          <w:sz w:val="21"/>
          <w:szCs w:val="21"/>
        </w:rPr>
        <w:t>5</w:t>
      </w:r>
      <w:bookmarkEnd w:id="168"/>
      <w:bookmarkStart w:id="170" w:name="_Toc296346664"/>
      <w:bookmarkStart w:id="171" w:name="_Toc296347162"/>
      <w:bookmarkStart w:id="172" w:name="_Toc296944502"/>
      <w:bookmarkStart w:id="173" w:name="_Toc296891203"/>
      <w:bookmarkStart w:id="174" w:name="_Toc296890991"/>
      <w:bookmarkStart w:id="175" w:name="_Toc292559872"/>
      <w:bookmarkStart w:id="176" w:name="_Toc297048349"/>
      <w:bookmarkStart w:id="177" w:name="_Toc292559367"/>
      <w:bookmarkStart w:id="178" w:name="_Toc296503163"/>
      <w:bookmarkStart w:id="179" w:name="_Toc297120463"/>
      <w:r>
        <w:rPr>
          <w:rFonts w:hint="eastAsia" w:cs="宋体"/>
          <w:color w:val="auto"/>
          <w:sz w:val="21"/>
          <w:szCs w:val="21"/>
        </w:rPr>
        <w:t>. 工程质量</w:t>
      </w:r>
      <w:bookmarkEnd w:id="169"/>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5.1 质量要求</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w:t>
      </w:r>
      <w:bookmarkStart w:id="180" w:name="_Toc304295527"/>
      <w:bookmarkStart w:id="181" w:name="_Toc297123496"/>
      <w:bookmarkStart w:id="182" w:name="_Toc300934949"/>
      <w:bookmarkStart w:id="183" w:name="_Toc297216155"/>
      <w:bookmarkStart w:id="184" w:name="_Toc303539106"/>
      <w:bookmarkStart w:id="185" w:name="_Toc312677997"/>
      <w:bookmarkStart w:id="186" w:name="_Toc318581164"/>
      <w:r>
        <w:rPr>
          <w:rFonts w:hint="eastAsia" w:cs="宋体"/>
          <w:color w:val="auto"/>
          <w:sz w:val="21"/>
          <w:szCs w:val="21"/>
        </w:rPr>
        <w:t>.1.1 特殊质量标准和要求：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关于工程奖项的约定：</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bookmarkStart w:id="187" w:name="_Toc351203638"/>
      <w:r>
        <w:rPr>
          <w:rFonts w:hint="eastAsia" w:cs="宋体"/>
          <w:color w:val="auto"/>
          <w:sz w:val="21"/>
          <w:szCs w:val="21"/>
        </w:rPr>
        <w:t>关于建造要求：</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（1）绿色建筑等级要求：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（2）智慧工地管理要求：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（3）建筑垃圾减量化目标：</w:t>
      </w:r>
      <w:r>
        <w:rPr>
          <w:rFonts w:hint="eastAsia" w:hAnsi="宋体" w:cs="宋体"/>
          <w:color w:val="auto"/>
          <w:sz w:val="21"/>
          <w:szCs w:val="21"/>
          <w:u w:val="single"/>
        </w:rPr>
        <w:t>见《专用合同条款数据表》</w:t>
      </w:r>
      <w:r>
        <w:rPr>
          <w:rFonts w:hint="eastAsia" w:hAnsi="宋体"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（4）装配式建筑装配率要求：</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（5）</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5.3 隐蔽工程检查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5.3.2 承包人提前通知监理人隐蔽工程检查的期限的约定：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监理人不能按时进行检查时，应提前</w:t>
      </w:r>
      <w:r>
        <w:rPr>
          <w:rFonts w:hint="eastAsia" w:cs="宋体"/>
          <w:color w:val="auto"/>
          <w:sz w:val="21"/>
          <w:szCs w:val="21"/>
          <w:u w:val="single"/>
        </w:rPr>
        <w:t xml:space="preserve">   </w:t>
      </w:r>
      <w:r>
        <w:rPr>
          <w:rFonts w:hint="eastAsia" w:cs="宋体"/>
          <w:color w:val="auto"/>
          <w:sz w:val="21"/>
          <w:szCs w:val="21"/>
        </w:rPr>
        <w:t>小时提交书面延期要求。</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关于延期最长不得超过：</w:t>
      </w:r>
      <w:r>
        <w:rPr>
          <w:rFonts w:hint="eastAsia" w:cs="宋体"/>
          <w:color w:val="auto"/>
          <w:sz w:val="21"/>
          <w:szCs w:val="21"/>
          <w:u w:val="single"/>
        </w:rPr>
        <w:t xml:space="preserve">   </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w:t>
      </w:r>
      <w:bookmarkStart w:id="188" w:name="_Toc337558762"/>
      <w:r>
        <w:rPr>
          <w:rFonts w:hint="eastAsia" w:cs="宋体"/>
          <w:bCs/>
          <w:color w:val="auto"/>
          <w:sz w:val="21"/>
          <w:szCs w:val="21"/>
        </w:rPr>
        <w:t>.4 不合格工程的处理</w:t>
      </w:r>
    </w:p>
    <w:bookmarkEnd w:id="188"/>
    <w:p>
      <w:pPr>
        <w:snapToGrid w:val="0"/>
        <w:spacing w:line="360" w:lineRule="auto"/>
        <w:ind w:firstLine="420" w:firstLineChars="200"/>
        <w:jc w:val="left"/>
        <w:rPr>
          <w:rFonts w:cs="宋体"/>
          <w:color w:val="auto"/>
          <w:sz w:val="21"/>
          <w:szCs w:val="21"/>
        </w:rPr>
      </w:pPr>
      <w:r>
        <w:rPr>
          <w:rFonts w:hint="eastAsia" w:cs="宋体"/>
          <w:color w:val="auto"/>
          <w:sz w:val="21"/>
          <w:szCs w:val="21"/>
        </w:rPr>
        <w:t>本款补充5.4.3项：</w:t>
      </w:r>
    </w:p>
    <w:p>
      <w:pPr>
        <w:snapToGrid w:val="0"/>
        <w:spacing w:line="360" w:lineRule="auto"/>
        <w:ind w:firstLine="420" w:firstLineChars="200"/>
        <w:jc w:val="left"/>
        <w:rPr>
          <w:rFonts w:cs="宋体"/>
          <w:color w:val="auto"/>
          <w:sz w:val="21"/>
          <w:szCs w:val="21"/>
        </w:rPr>
      </w:pPr>
      <w:r>
        <w:rPr>
          <w:rFonts w:hint="eastAsia" w:cs="宋体"/>
          <w:color w:val="auto"/>
          <w:sz w:val="21"/>
          <w:szCs w:val="21"/>
        </w:rPr>
        <w:t>5.4.3 承包人在收到监理人发出的《不合格分项报告》或监理通知单后，必须在监理人规定时间内按要求完成整改，未能在限定时间内完成整改的，须承担相应违约责任。</w:t>
      </w:r>
    </w:p>
    <w:p>
      <w:pPr>
        <w:snapToGrid w:val="0"/>
        <w:spacing w:line="360" w:lineRule="auto"/>
        <w:ind w:firstLine="420" w:firstLineChars="200"/>
        <w:jc w:val="left"/>
        <w:rPr>
          <w:rFonts w:cs="宋体"/>
          <w:color w:val="auto"/>
          <w:sz w:val="21"/>
          <w:szCs w:val="21"/>
        </w:rPr>
      </w:pPr>
      <w:r>
        <w:rPr>
          <w:rFonts w:hint="eastAsia" w:cs="宋体"/>
          <w:color w:val="auto"/>
          <w:sz w:val="21"/>
          <w:szCs w:val="21"/>
        </w:rPr>
        <w:t>本条补充5.6款：</w:t>
      </w:r>
    </w:p>
    <w:p>
      <w:pPr>
        <w:keepNext/>
        <w:keepLines/>
        <w:snapToGrid w:val="0"/>
        <w:spacing w:before="120" w:after="120" w:line="360" w:lineRule="auto"/>
        <w:ind w:firstLine="420" w:firstLineChars="200"/>
        <w:outlineLvl w:val="3"/>
        <w:rPr>
          <w:rFonts w:cs="宋体"/>
          <w:bCs/>
          <w:color w:val="auto"/>
          <w:sz w:val="21"/>
          <w:szCs w:val="21"/>
        </w:rPr>
      </w:pPr>
      <w:bookmarkStart w:id="189" w:name="_Toc532377348"/>
      <w:r>
        <w:rPr>
          <w:rFonts w:hint="eastAsia" w:cs="宋体"/>
          <w:bCs/>
          <w:color w:val="auto"/>
          <w:sz w:val="21"/>
          <w:szCs w:val="21"/>
        </w:rPr>
        <w:t>5.6 质量事故的处理</w:t>
      </w:r>
      <w:bookmarkEnd w:id="189"/>
    </w:p>
    <w:p>
      <w:pPr>
        <w:snapToGrid w:val="0"/>
        <w:spacing w:line="360" w:lineRule="auto"/>
        <w:ind w:firstLine="420" w:firstLineChars="200"/>
        <w:jc w:val="left"/>
        <w:rPr>
          <w:rFonts w:cs="宋体"/>
          <w:color w:val="auto"/>
          <w:sz w:val="21"/>
          <w:szCs w:val="21"/>
        </w:rPr>
      </w:pPr>
      <w:r>
        <w:rPr>
          <w:rFonts w:hint="eastAsia" w:cs="宋体"/>
          <w:color w:val="auto"/>
          <w:sz w:val="21"/>
          <w:szCs w:val="21"/>
        </w:rPr>
        <w:t>5.6.1 合同履行过程中，发生工程质量事故的调查处理按照国家现行规定处理。</w:t>
      </w:r>
    </w:p>
    <w:p>
      <w:pPr>
        <w:snapToGrid w:val="0"/>
        <w:spacing w:line="360" w:lineRule="auto"/>
        <w:ind w:firstLine="420" w:firstLineChars="200"/>
        <w:jc w:val="left"/>
        <w:rPr>
          <w:rFonts w:cs="宋体"/>
          <w:color w:val="auto"/>
          <w:sz w:val="21"/>
          <w:szCs w:val="21"/>
        </w:rPr>
      </w:pPr>
      <w:r>
        <w:rPr>
          <w:rFonts w:hint="eastAsia" w:cs="宋体"/>
          <w:color w:val="auto"/>
          <w:sz w:val="21"/>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t>6. 安全文明施工与环境保护</w:t>
      </w:r>
      <w:bookmarkEnd w:id="187"/>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6.1 安全文明施工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6.1.1 项目安全生产的达标目标及相应事项的约定：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6.1.4 关于治安保卫的特别约定：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关于编制施工场地治安管理计划的约定：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6.1.5 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合同当事人对文明施工的要求：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6.1.6 关于安全文明施工费支付比例和支付期限的约定：</w:t>
      </w:r>
      <w:r>
        <w:rPr>
          <w:rFonts w:hint="eastAsia" w:cs="宋体"/>
          <w:color w:val="auto"/>
          <w:sz w:val="21"/>
          <w:szCs w:val="21"/>
          <w:u w:val="single"/>
        </w:rPr>
        <w:t xml:space="preserve">            </w:t>
      </w:r>
      <w:r>
        <w:rPr>
          <w:rFonts w:hint="eastAsia" w:cs="宋体"/>
          <w:color w:val="auto"/>
          <w:sz w:val="21"/>
          <w:szCs w:val="21"/>
        </w:rPr>
        <w:t>。</w:t>
      </w:r>
    </w:p>
    <w:bookmarkEnd w:id="180"/>
    <w:bookmarkEnd w:id="181"/>
    <w:bookmarkEnd w:id="182"/>
    <w:bookmarkEnd w:id="183"/>
    <w:bookmarkEnd w:id="184"/>
    <w:bookmarkEnd w:id="185"/>
    <w:bookmarkEnd w:id="186"/>
    <w:p>
      <w:pPr>
        <w:snapToGrid w:val="0"/>
        <w:spacing w:before="312" w:beforeLines="100" w:after="312" w:afterLines="100" w:line="360" w:lineRule="auto"/>
        <w:outlineLvl w:val="2"/>
        <w:rPr>
          <w:rFonts w:cs="宋体"/>
          <w:color w:val="auto"/>
          <w:sz w:val="21"/>
          <w:szCs w:val="21"/>
        </w:rPr>
      </w:pPr>
      <w:bookmarkStart w:id="190" w:name="_Toc351203639"/>
      <w:r>
        <w:rPr>
          <w:rFonts w:hint="eastAsia" w:cs="宋体"/>
          <w:color w:val="auto"/>
          <w:sz w:val="21"/>
          <w:szCs w:val="21"/>
        </w:rPr>
        <w:t>7. 工期和进度</w:t>
      </w:r>
      <w:bookmarkEnd w:id="19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7.1 施工组织设计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7.1.1 合同当事人约定的施工组织设计应包括的其他内容：</w:t>
      </w:r>
      <w:r>
        <w:rPr>
          <w:rFonts w:hint="eastAsia" w:cs="宋体"/>
          <w:color w:val="auto"/>
          <w:sz w:val="21"/>
          <w:szCs w:val="21"/>
          <w:u w:val="single"/>
        </w:rPr>
        <w:t>总进度计划须含网络图、横道图。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7.1.2 施工组织设计的提交和修改</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承包人提交详细施工组织设计的期限的约定：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发包人和监理人在收到详细的施工组织设计后确认或提出修改意见的期限：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1" w:name="_Toc300934966"/>
      <w:bookmarkStart w:id="192" w:name="_Toc303539123"/>
      <w:bookmarkStart w:id="193" w:name="_Toc297123514"/>
      <w:bookmarkStart w:id="194" w:name="_Toc312677479"/>
      <w:bookmarkStart w:id="195" w:name="_Toc304295541"/>
      <w:bookmarkStart w:id="196" w:name="_Toc312678005"/>
      <w:bookmarkStart w:id="197" w:name="_Toc297216173"/>
      <w:r>
        <w:rPr>
          <w:rFonts w:hint="eastAsia" w:cs="宋体"/>
          <w:bCs/>
          <w:color w:val="auto"/>
          <w:sz w:val="21"/>
          <w:szCs w:val="21"/>
        </w:rPr>
        <w:t>.2 施工进度计划</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7.2.2 施工进度计划的修订</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发包人和监理人在收到修订的施工进度计划后确认或提出修改意见的期限：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7.3 开工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7.3.1 开工准备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关于承包人提交工程开工报审表的期限：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7.3.2 开工通知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因发包人原因造成监理人未能在计划开工日期之日起</w:t>
      </w:r>
      <w:r>
        <w:rPr>
          <w:rFonts w:hint="eastAsia" w:cs="宋体"/>
          <w:color w:val="auto"/>
          <w:sz w:val="21"/>
          <w:szCs w:val="21"/>
          <w:u w:val="single"/>
        </w:rPr>
        <w:t xml:space="preserve">   </w:t>
      </w:r>
      <w:r>
        <w:rPr>
          <w:rFonts w:hint="eastAsia" w:cs="宋体"/>
          <w:color w:val="auto"/>
          <w:sz w:val="21"/>
          <w:szCs w:val="21"/>
        </w:rPr>
        <w:t>天内发出开工通知的，承包人有权提出价格调整要求，或者解除合同。</w:t>
      </w:r>
    </w:p>
    <w:bookmarkEnd w:id="191"/>
    <w:bookmarkEnd w:id="192"/>
    <w:bookmarkEnd w:id="193"/>
    <w:bookmarkEnd w:id="194"/>
    <w:bookmarkEnd w:id="195"/>
    <w:bookmarkEnd w:id="196"/>
    <w:bookmarkEnd w:id="19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7.4 测量放线</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7.4.1 发包人通过监理人向承包人提供测量基准点、基准线和水准点及其书面资料的期限：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8" w:name="_Toc312678010"/>
      <w:bookmarkStart w:id="199" w:name="_Toc297216175"/>
      <w:bookmarkStart w:id="200" w:name="_Toc304295546"/>
      <w:bookmarkStart w:id="201" w:name="_Toc303539125"/>
      <w:bookmarkStart w:id="202" w:name="_Toc300934968"/>
      <w:bookmarkStart w:id="203" w:name="_Toc312677484"/>
      <w:bookmarkStart w:id="204" w:name="_Toc297123516"/>
      <w:r>
        <w:rPr>
          <w:rFonts w:hint="eastAsia" w:cs="宋体"/>
          <w:bCs/>
          <w:color w:val="auto"/>
          <w:sz w:val="21"/>
          <w:szCs w:val="21"/>
        </w:rPr>
        <w:t>.5 工期延误</w:t>
      </w:r>
    </w:p>
    <w:bookmarkEnd w:id="198"/>
    <w:bookmarkEnd w:id="199"/>
    <w:bookmarkEnd w:id="200"/>
    <w:bookmarkEnd w:id="201"/>
    <w:bookmarkEnd w:id="202"/>
    <w:bookmarkEnd w:id="203"/>
    <w:bookmarkEnd w:id="204"/>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7.5.1 因发包人原因导致工期延误</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（7）因发包人原因导致工期延误的其他情形：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w:t>
      </w:r>
      <w:bookmarkStart w:id="205" w:name="_Toc318581169"/>
      <w:bookmarkStart w:id="206" w:name="_Toc312677486"/>
      <w:bookmarkStart w:id="207" w:name="_Toc312678012"/>
      <w:bookmarkStart w:id="208" w:name="_Toc304295548"/>
      <w:bookmarkStart w:id="209" w:name="_Toc297216177"/>
      <w:bookmarkStart w:id="210" w:name="_Toc303539127"/>
      <w:bookmarkStart w:id="211" w:name="_Toc300934970"/>
      <w:bookmarkStart w:id="212" w:name="_Toc297123518"/>
      <w:r>
        <w:rPr>
          <w:rFonts w:hint="eastAsia" w:cs="宋体"/>
          <w:color w:val="auto"/>
          <w:sz w:val="21"/>
          <w:szCs w:val="21"/>
        </w:rPr>
        <w:t>.5.2 因承包人原因导致工期延误</w:t>
      </w:r>
    </w:p>
    <w:bookmarkEnd w:id="205"/>
    <w:bookmarkEnd w:id="206"/>
    <w:bookmarkEnd w:id="207"/>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w:t>
      </w:r>
      <w:bookmarkStart w:id="213" w:name="_Toc312677487"/>
      <w:bookmarkStart w:id="214" w:name="_Toc312678013"/>
      <w:bookmarkStart w:id="215" w:name="_Toc318581170"/>
      <w:r>
        <w:rPr>
          <w:rFonts w:hint="eastAsia" w:cs="宋体"/>
          <w:color w:val="auto"/>
          <w:sz w:val="21"/>
          <w:szCs w:val="21"/>
        </w:rPr>
        <w:t>承包人原因造成工期延误，逾期竣工违约金的计算方法为：</w:t>
      </w:r>
      <w:r>
        <w:rPr>
          <w:rFonts w:hint="eastAsia" w:cs="宋体"/>
          <w:color w:val="auto"/>
          <w:sz w:val="21"/>
          <w:szCs w:val="21"/>
          <w:u w:val="single"/>
        </w:rPr>
        <w:t>见《专用合同条款数据表》</w:t>
      </w:r>
      <w:r>
        <w:rPr>
          <w:rFonts w:hint="eastAsia" w:cs="宋体"/>
          <w:color w:val="auto"/>
          <w:sz w:val="21"/>
          <w:szCs w:val="21"/>
        </w:rPr>
        <w:t>。</w:t>
      </w:r>
      <w:bookmarkEnd w:id="208"/>
      <w:bookmarkEnd w:id="209"/>
      <w:bookmarkEnd w:id="210"/>
      <w:bookmarkEnd w:id="211"/>
      <w:bookmarkEnd w:id="212"/>
      <w:bookmarkEnd w:id="213"/>
      <w:bookmarkEnd w:id="214"/>
    </w:p>
    <w:bookmarkEnd w:id="215"/>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因承包人原因造成工期延误，逾</w:t>
      </w:r>
      <w:bookmarkStart w:id="216" w:name="_Toc318581171"/>
      <w:bookmarkStart w:id="217" w:name="_Toc312678014"/>
      <w:r>
        <w:rPr>
          <w:rFonts w:hint="eastAsia" w:cs="宋体"/>
          <w:color w:val="auto"/>
          <w:sz w:val="21"/>
          <w:szCs w:val="21"/>
        </w:rPr>
        <w:t>期竣工违约金的上限：</w:t>
      </w:r>
      <w:r>
        <w:rPr>
          <w:rFonts w:hint="eastAsia" w:cs="宋体"/>
          <w:color w:val="auto"/>
          <w:sz w:val="21"/>
          <w:szCs w:val="21"/>
          <w:u w:val="single"/>
        </w:rPr>
        <w:t>见《专用合同条款数据表》</w:t>
      </w:r>
      <w:r>
        <w:rPr>
          <w:rFonts w:hint="eastAsia" w:cs="宋体"/>
          <w:color w:val="auto"/>
          <w:sz w:val="21"/>
          <w:szCs w:val="21"/>
        </w:rPr>
        <w:t>。</w:t>
      </w:r>
    </w:p>
    <w:bookmarkEnd w:id="216"/>
    <w:bookmarkEnd w:id="21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18" w:name="_Toc297123519"/>
      <w:bookmarkStart w:id="219" w:name="_Toc303539128"/>
      <w:bookmarkStart w:id="220" w:name="_Toc297216178"/>
      <w:bookmarkStart w:id="221" w:name="_Toc304295549"/>
      <w:bookmarkStart w:id="222" w:name="_Toc300934971"/>
      <w:bookmarkStart w:id="223" w:name="_Toc312678015"/>
      <w:r>
        <w:rPr>
          <w:rFonts w:hint="eastAsia" w:cs="宋体"/>
          <w:bCs/>
          <w:color w:val="auto"/>
          <w:sz w:val="21"/>
          <w:szCs w:val="21"/>
        </w:rPr>
        <w:t>.6 不</w:t>
      </w:r>
      <w:bookmarkEnd w:id="218"/>
      <w:bookmarkEnd w:id="219"/>
      <w:bookmarkEnd w:id="220"/>
      <w:bookmarkEnd w:id="221"/>
      <w:bookmarkEnd w:id="222"/>
      <w:bookmarkEnd w:id="223"/>
      <w:r>
        <w:rPr>
          <w:rFonts w:hint="eastAsia" w:cs="宋体"/>
          <w:bCs/>
          <w:color w:val="auto"/>
          <w:sz w:val="21"/>
          <w:szCs w:val="21"/>
        </w:rPr>
        <w:t>利物质条件</w:t>
      </w:r>
    </w:p>
    <w:p>
      <w:pPr>
        <w:adjustRightInd w:val="0"/>
        <w:snapToGrid w:val="0"/>
        <w:spacing w:line="360" w:lineRule="auto"/>
        <w:ind w:firstLine="420" w:firstLineChars="200"/>
        <w:rPr>
          <w:rFonts w:cs="宋体"/>
          <w:b/>
          <w:color w:val="auto"/>
          <w:sz w:val="21"/>
          <w:szCs w:val="21"/>
          <w:u w:val="single"/>
        </w:rPr>
      </w:pPr>
      <w:bookmarkStart w:id="224" w:name="_Toc297216179"/>
      <w:bookmarkStart w:id="225" w:name="_Toc318581172"/>
      <w:bookmarkStart w:id="226" w:name="_Toc312678016"/>
      <w:bookmarkStart w:id="227" w:name="_Toc304295550"/>
      <w:bookmarkStart w:id="228" w:name="_Toc303539129"/>
      <w:bookmarkStart w:id="229" w:name="_Toc300934972"/>
      <w:bookmarkStart w:id="230" w:name="_Toc297123520"/>
      <w:r>
        <w:rPr>
          <w:rFonts w:hint="eastAsia" w:cs="宋体"/>
          <w:color w:val="auto"/>
          <w:sz w:val="21"/>
          <w:szCs w:val="21"/>
        </w:rPr>
        <w:t>不利物质条件的其他情形和有关约定：</w:t>
      </w:r>
      <w:r>
        <w:rPr>
          <w:rFonts w:hint="eastAsia" w:cs="宋体"/>
          <w:color w:val="auto"/>
          <w:sz w:val="21"/>
          <w:szCs w:val="21"/>
          <w:u w:val="single"/>
        </w:rPr>
        <w:t xml:space="preserve">        </w:t>
      </w:r>
      <w:r>
        <w:rPr>
          <w:rFonts w:hint="eastAsia" w:cs="宋体"/>
          <w:color w:val="auto"/>
          <w:sz w:val="21"/>
          <w:szCs w:val="21"/>
        </w:rPr>
        <w:t>。</w:t>
      </w:r>
    </w:p>
    <w:bookmarkEnd w:id="224"/>
    <w:bookmarkEnd w:id="225"/>
    <w:bookmarkEnd w:id="226"/>
    <w:bookmarkEnd w:id="227"/>
    <w:bookmarkEnd w:id="228"/>
    <w:bookmarkEnd w:id="229"/>
    <w:bookmarkEnd w:id="230"/>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31" w:name="_Toc303539130"/>
      <w:bookmarkStart w:id="232" w:name="_Toc300934973"/>
      <w:bookmarkStart w:id="233" w:name="_Toc297123521"/>
      <w:bookmarkStart w:id="234" w:name="_Toc297216180"/>
      <w:bookmarkStart w:id="235" w:name="_Toc312678017"/>
      <w:bookmarkStart w:id="236" w:name="_Toc304295551"/>
      <w:r>
        <w:rPr>
          <w:rFonts w:hint="eastAsia" w:cs="宋体"/>
          <w:bCs/>
          <w:color w:val="auto"/>
          <w:sz w:val="21"/>
          <w:szCs w:val="21"/>
        </w:rPr>
        <w:t>.7 异常恶劣的气候条件</w:t>
      </w:r>
    </w:p>
    <w:bookmarkEnd w:id="231"/>
    <w:bookmarkEnd w:id="232"/>
    <w:bookmarkEnd w:id="233"/>
    <w:bookmarkEnd w:id="234"/>
    <w:bookmarkEnd w:id="235"/>
    <w:bookmarkEnd w:id="23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发包人和承包人同意以下情形视为异常恶劣的气候条件：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7.9 提前竣工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7.9.2 提前竣工的奖励：</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237" w:name="_Toc351203640"/>
      <w:r>
        <w:rPr>
          <w:rFonts w:hint="eastAsia" w:cs="宋体"/>
          <w:color w:val="auto"/>
          <w:sz w:val="21"/>
          <w:szCs w:val="21"/>
        </w:rPr>
        <w:t>8. 材料与设备</w:t>
      </w:r>
      <w:bookmarkEnd w:id="237"/>
    </w:p>
    <w:bookmarkEnd w:id="170"/>
    <w:bookmarkEnd w:id="171"/>
    <w:bookmarkEnd w:id="172"/>
    <w:bookmarkEnd w:id="173"/>
    <w:bookmarkEnd w:id="174"/>
    <w:bookmarkEnd w:id="175"/>
    <w:bookmarkEnd w:id="176"/>
    <w:bookmarkEnd w:id="177"/>
    <w:bookmarkEnd w:id="178"/>
    <w:bookmarkEnd w:id="1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w:t>
      </w:r>
      <w:bookmarkStart w:id="238" w:name="_Toc292559877"/>
      <w:bookmarkStart w:id="239" w:name="_Toc296891207"/>
      <w:bookmarkStart w:id="240" w:name="_Toc304295556"/>
      <w:bookmarkStart w:id="241" w:name="_Toc292559372"/>
      <w:bookmarkStart w:id="242" w:name="_Toc312678019"/>
      <w:bookmarkStart w:id="243" w:name="_Toc297123527"/>
      <w:bookmarkStart w:id="244" w:name="_Toc300934979"/>
      <w:bookmarkStart w:id="245" w:name="_Toc297120467"/>
      <w:bookmarkStart w:id="246" w:name="_Toc296347166"/>
      <w:bookmarkStart w:id="247" w:name="_Toc297216186"/>
      <w:bookmarkStart w:id="248" w:name="_Toc296346668"/>
      <w:bookmarkStart w:id="249" w:name="_Toc297048353"/>
      <w:bookmarkStart w:id="250" w:name="_Toc296944506"/>
      <w:bookmarkStart w:id="251" w:name="_Toc280868654"/>
      <w:bookmarkStart w:id="252" w:name="_Toc303539136"/>
      <w:bookmarkStart w:id="253" w:name="_Toc296890995"/>
      <w:bookmarkStart w:id="254" w:name="_Toc312677493"/>
      <w:bookmarkStart w:id="255" w:name="_Toc296503167"/>
      <w:bookmarkStart w:id="256" w:name="_Toc267251424"/>
      <w:bookmarkStart w:id="257" w:name="_Toc280868656"/>
      <w:bookmarkStart w:id="258" w:name="_Toc280868655"/>
      <w:r>
        <w:rPr>
          <w:rFonts w:hint="eastAsia" w:cs="宋体"/>
          <w:color w:val="auto"/>
          <w:sz w:val="21"/>
          <w:szCs w:val="21"/>
        </w:rPr>
        <w:t>.4 材料与工程设备的保管与使用</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8</w:t>
      </w:r>
      <w:bookmarkStart w:id="259" w:name="_Toc292559373"/>
      <w:bookmarkStart w:id="260" w:name="_Toc292559878"/>
      <w:bookmarkStart w:id="261" w:name="_Toc297120468"/>
      <w:bookmarkStart w:id="262" w:name="_Toc297216187"/>
      <w:bookmarkStart w:id="263" w:name="_Toc312678020"/>
      <w:bookmarkStart w:id="264" w:name="_Toc296503168"/>
      <w:bookmarkStart w:id="265" w:name="_Toc296346669"/>
      <w:bookmarkStart w:id="266" w:name="_Toc303539137"/>
      <w:bookmarkStart w:id="267" w:name="_Toc297048354"/>
      <w:bookmarkStart w:id="268" w:name="_Toc296347167"/>
      <w:bookmarkStart w:id="269" w:name="_Toc300934980"/>
      <w:bookmarkStart w:id="270" w:name="_Toc318581173"/>
      <w:bookmarkStart w:id="271" w:name="_Toc297123528"/>
      <w:bookmarkStart w:id="272" w:name="_Toc296890996"/>
      <w:bookmarkStart w:id="273" w:name="_Toc304295557"/>
      <w:bookmarkStart w:id="274" w:name="_Toc296891208"/>
      <w:bookmarkStart w:id="275" w:name="_Toc296944507"/>
      <w:bookmarkStart w:id="276" w:name="_Toc312677494"/>
      <w:r>
        <w:rPr>
          <w:rFonts w:hint="eastAsia" w:cs="宋体"/>
          <w:color w:val="auto"/>
          <w:sz w:val="21"/>
          <w:szCs w:val="21"/>
        </w:rPr>
        <w:t>.4.1 发包人供应的材料设备的保管费用的承担：</w:t>
      </w:r>
      <w:r>
        <w:rPr>
          <w:rFonts w:hint="eastAsia" w:cs="宋体"/>
          <w:color w:val="auto"/>
          <w:sz w:val="21"/>
          <w:szCs w:val="21"/>
          <w:u w:val="single"/>
        </w:rPr>
        <w:t xml:space="preserve">                   </w:t>
      </w:r>
      <w:r>
        <w:rPr>
          <w:rFonts w:hint="eastAsia" w:cs="宋体"/>
          <w:color w:val="auto"/>
          <w:sz w:val="21"/>
          <w:szCs w:val="21"/>
        </w:rPr>
        <w:t>。</w:t>
      </w:r>
      <w:bookmarkEnd w:id="259"/>
      <w:bookmarkEnd w:id="2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8.6 样品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8.6.1 样品的报送与封存</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需要承包人报送样品的材料或工程设备，样品的种类、名称、规格、数量要求：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 施工设备和临时设施</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8.8.1 承包人提供的施工设备和临时设施</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关于修建临时设施费用承担的约定：</w:t>
      </w:r>
      <w:r>
        <w:rPr>
          <w:rFonts w:hint="eastAsia" w:cs="宋体"/>
          <w:color w:val="auto"/>
          <w:sz w:val="21"/>
          <w:szCs w:val="21"/>
          <w:u w:val="single"/>
        </w:rPr>
        <w:t xml:space="preserve">        </w:t>
      </w:r>
      <w:r>
        <w:rPr>
          <w:rFonts w:hint="eastAsia" w:cs="宋体"/>
          <w:color w:val="auto"/>
          <w:sz w:val="21"/>
          <w:szCs w:val="21"/>
        </w:rPr>
        <w:t>。</w:t>
      </w:r>
    </w:p>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Pr>
        <w:snapToGrid w:val="0"/>
        <w:spacing w:before="312" w:beforeLines="100" w:after="312" w:afterLines="100" w:line="360" w:lineRule="auto"/>
        <w:outlineLvl w:val="2"/>
        <w:rPr>
          <w:rFonts w:cs="宋体"/>
          <w:color w:val="auto"/>
          <w:sz w:val="21"/>
          <w:szCs w:val="21"/>
        </w:rPr>
      </w:pPr>
      <w:bookmarkStart w:id="277" w:name="_Toc351203641"/>
      <w:r>
        <w:rPr>
          <w:rFonts w:hint="eastAsia" w:cs="宋体"/>
          <w:color w:val="auto"/>
          <w:sz w:val="21"/>
          <w:szCs w:val="21"/>
        </w:rPr>
        <w:t>9</w:t>
      </w:r>
      <w:bookmarkEnd w:id="256"/>
      <w:bookmarkEnd w:id="257"/>
      <w:bookmarkEnd w:id="258"/>
      <w:bookmarkStart w:id="278" w:name="_Toc312677495"/>
      <w:bookmarkStart w:id="279" w:name="_Toc300934982"/>
      <w:bookmarkStart w:id="280" w:name="_Toc303539139"/>
      <w:bookmarkStart w:id="281" w:name="_Toc304295559"/>
      <w:bookmarkStart w:id="282" w:name="_Toc297216192"/>
      <w:bookmarkStart w:id="283" w:name="_Toc312678021"/>
      <w:bookmarkStart w:id="284" w:name="_Toc297123533"/>
      <w:bookmarkStart w:id="285" w:name="_Toc296944512"/>
      <w:bookmarkStart w:id="286" w:name="_Toc267251428"/>
      <w:bookmarkStart w:id="287" w:name="_Toc297120473"/>
      <w:bookmarkStart w:id="288" w:name="_Toc292559883"/>
      <w:bookmarkStart w:id="289" w:name="_Toc296347172"/>
      <w:bookmarkStart w:id="290" w:name="_Toc297048359"/>
      <w:bookmarkStart w:id="291" w:name="_Toc296503173"/>
      <w:bookmarkStart w:id="292" w:name="_Toc296891001"/>
      <w:bookmarkStart w:id="293" w:name="_Toc267251427"/>
      <w:bookmarkStart w:id="294" w:name="_Toc296891213"/>
      <w:bookmarkStart w:id="295" w:name="_Toc296346674"/>
      <w:bookmarkStart w:id="296" w:name="_Toc292559378"/>
      <w:r>
        <w:rPr>
          <w:rFonts w:hint="eastAsia" w:cs="宋体"/>
          <w:color w:val="auto"/>
          <w:sz w:val="21"/>
          <w:szCs w:val="21"/>
        </w:rPr>
        <w:t>. 试验与检验</w:t>
      </w:r>
      <w:bookmarkEnd w:id="277"/>
    </w:p>
    <w:bookmarkEnd w:id="278"/>
    <w:bookmarkEnd w:id="279"/>
    <w:bookmarkEnd w:id="280"/>
    <w:bookmarkEnd w:id="281"/>
    <w:bookmarkEnd w:id="282"/>
    <w:bookmarkEnd w:id="283"/>
    <w:bookmarkEnd w:id="28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9</w:t>
      </w:r>
      <w:bookmarkStart w:id="297" w:name="_Toc312678022"/>
      <w:bookmarkStart w:id="298" w:name="_Toc297123534"/>
      <w:bookmarkStart w:id="299" w:name="_Toc312677496"/>
      <w:bookmarkStart w:id="300" w:name="_Toc304295560"/>
      <w:bookmarkStart w:id="301" w:name="_Toc300934983"/>
      <w:bookmarkStart w:id="302" w:name="_Toc303539140"/>
      <w:bookmarkStart w:id="303" w:name="_Toc297216193"/>
      <w:r>
        <w:rPr>
          <w:rFonts w:hint="eastAsia" w:cs="宋体"/>
          <w:bCs/>
          <w:color w:val="auto"/>
          <w:sz w:val="21"/>
          <w:szCs w:val="21"/>
        </w:rPr>
        <w:t>.1 试验设备与试验人员</w:t>
      </w:r>
    </w:p>
    <w:bookmarkEnd w:id="297"/>
    <w:bookmarkEnd w:id="298"/>
    <w:bookmarkEnd w:id="299"/>
    <w:bookmarkEnd w:id="300"/>
    <w:bookmarkEnd w:id="301"/>
    <w:bookmarkEnd w:id="302"/>
    <w:bookmarkEnd w:id="30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w:t>
      </w:r>
      <w:bookmarkStart w:id="304" w:name="_Toc297216194"/>
      <w:bookmarkStart w:id="305" w:name="_Toc303539141"/>
      <w:bookmarkStart w:id="306" w:name="_Toc300934984"/>
      <w:bookmarkStart w:id="307" w:name="_Toc297123535"/>
      <w:bookmarkStart w:id="308" w:name="_Toc312677497"/>
      <w:bookmarkStart w:id="309" w:name="_Toc304295561"/>
      <w:bookmarkStart w:id="310" w:name="_Toc312678023"/>
      <w:bookmarkStart w:id="311" w:name="_Toc318581174"/>
      <w:r>
        <w:rPr>
          <w:rFonts w:hint="eastAsia" w:cs="宋体"/>
          <w:color w:val="auto"/>
          <w:sz w:val="21"/>
          <w:szCs w:val="21"/>
        </w:rPr>
        <w:t>.1.2 试验设备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施工现场需要配置的试验场所</w:t>
      </w:r>
      <w:bookmarkEnd w:id="304"/>
      <w:bookmarkEnd w:id="305"/>
      <w:bookmarkEnd w:id="306"/>
      <w:bookmarkEnd w:id="307"/>
      <w:bookmarkEnd w:id="308"/>
      <w:bookmarkEnd w:id="309"/>
      <w:bookmarkEnd w:id="310"/>
      <w:bookmarkStart w:id="312" w:name="_Toc304295562"/>
      <w:bookmarkStart w:id="313" w:name="_Toc297216195"/>
      <w:bookmarkStart w:id="314" w:name="_Toc297123536"/>
      <w:bookmarkStart w:id="315" w:name="_Toc300934985"/>
      <w:bookmarkStart w:id="316" w:name="_Toc312678024"/>
      <w:bookmarkStart w:id="317" w:name="_Toc312677498"/>
      <w:bookmarkStart w:id="318" w:name="_Toc303539142"/>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施工现场需要配备的试验设备：</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施工现场需要具备的其他试验条件：</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9.4 现场工艺试验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现场工艺试验的有关约定：</w:t>
      </w:r>
      <w:r>
        <w:rPr>
          <w:rFonts w:hint="eastAsia" w:cs="宋体"/>
          <w:color w:val="auto"/>
          <w:sz w:val="21"/>
          <w:szCs w:val="21"/>
          <w:u w:val="single"/>
        </w:rPr>
        <w:t xml:space="preserve">                                       </w:t>
      </w:r>
      <w:r>
        <w:rPr>
          <w:rFonts w:hint="eastAsia" w:cs="宋体"/>
          <w:color w:val="auto"/>
          <w:sz w:val="21"/>
          <w:szCs w:val="21"/>
        </w:rPr>
        <w:t>。</w:t>
      </w:r>
    </w:p>
    <w:bookmarkEnd w:id="311"/>
    <w:bookmarkEnd w:id="312"/>
    <w:bookmarkEnd w:id="313"/>
    <w:bookmarkEnd w:id="314"/>
    <w:bookmarkEnd w:id="315"/>
    <w:bookmarkEnd w:id="316"/>
    <w:bookmarkEnd w:id="317"/>
    <w:bookmarkEnd w:id="318"/>
    <w:p>
      <w:pPr>
        <w:snapToGrid w:val="0"/>
        <w:spacing w:before="312" w:beforeLines="100" w:after="312" w:afterLines="100" w:line="360" w:lineRule="auto"/>
        <w:outlineLvl w:val="2"/>
        <w:rPr>
          <w:rFonts w:cs="宋体"/>
          <w:color w:val="auto"/>
          <w:sz w:val="21"/>
          <w:szCs w:val="21"/>
        </w:rPr>
      </w:pPr>
      <w:bookmarkStart w:id="319" w:name="_Toc351203642"/>
      <w:r>
        <w:rPr>
          <w:rFonts w:hint="eastAsia" w:cs="宋体"/>
          <w:color w:val="auto"/>
          <w:sz w:val="21"/>
          <w:szCs w:val="21"/>
        </w:rPr>
        <w:t>1</w:t>
      </w:r>
      <w:bookmarkEnd w:id="285"/>
      <w:bookmarkEnd w:id="286"/>
      <w:bookmarkEnd w:id="287"/>
      <w:bookmarkEnd w:id="288"/>
      <w:bookmarkEnd w:id="289"/>
      <w:bookmarkEnd w:id="290"/>
      <w:bookmarkEnd w:id="291"/>
      <w:bookmarkEnd w:id="292"/>
      <w:bookmarkEnd w:id="293"/>
      <w:bookmarkEnd w:id="294"/>
      <w:bookmarkEnd w:id="295"/>
      <w:bookmarkEnd w:id="296"/>
      <w:bookmarkStart w:id="320" w:name="_Toc296346694"/>
      <w:bookmarkStart w:id="321" w:name="_Toc297048379"/>
      <w:bookmarkStart w:id="322" w:name="_Toc292559398"/>
      <w:bookmarkStart w:id="323" w:name="_Toc296891233"/>
      <w:bookmarkStart w:id="324" w:name="_Toc297120493"/>
      <w:bookmarkStart w:id="325" w:name="_Toc303539146"/>
      <w:bookmarkStart w:id="326" w:name="_Toc296347192"/>
      <w:bookmarkStart w:id="327" w:name="_Toc297216199"/>
      <w:bookmarkStart w:id="328" w:name="_Toc296503193"/>
      <w:bookmarkStart w:id="329" w:name="_Toc304295566"/>
      <w:bookmarkStart w:id="330" w:name="_Toc300934989"/>
      <w:bookmarkStart w:id="331" w:name="_Toc296944532"/>
      <w:bookmarkStart w:id="332" w:name="_Toc296891021"/>
      <w:bookmarkStart w:id="333" w:name="_Toc292559903"/>
      <w:bookmarkStart w:id="334" w:name="_Toc297123540"/>
      <w:bookmarkStart w:id="335" w:name="_Toc312677499"/>
      <w:bookmarkStart w:id="336" w:name="_Toc312678025"/>
      <w:bookmarkStart w:id="337" w:name="_Toc267251437"/>
      <w:bookmarkStart w:id="338" w:name="_Toc267251433"/>
      <w:bookmarkStart w:id="339" w:name="_Toc267251441"/>
      <w:bookmarkStart w:id="340" w:name="_Toc267251440"/>
      <w:bookmarkStart w:id="341" w:name="_Toc267251435"/>
      <w:bookmarkStart w:id="342" w:name="_Toc267251439"/>
      <w:bookmarkStart w:id="343" w:name="_Toc267251442"/>
      <w:r>
        <w:rPr>
          <w:rFonts w:hint="eastAsia" w:cs="宋体"/>
          <w:color w:val="auto"/>
          <w:sz w:val="21"/>
          <w:szCs w:val="21"/>
        </w:rPr>
        <w:t>0. 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bookmarkEnd w:id="335"/>
    <w:bookmarkEnd w:id="33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344" w:name="_Toc303539147"/>
      <w:bookmarkStart w:id="345" w:name="_Toc304295567"/>
      <w:bookmarkStart w:id="346" w:name="_Toc312677500"/>
      <w:bookmarkStart w:id="347" w:name="_Toc296891234"/>
      <w:bookmarkStart w:id="348" w:name="_Toc296944533"/>
      <w:bookmarkStart w:id="349" w:name="_Toc297123541"/>
      <w:bookmarkStart w:id="350" w:name="_Toc296346695"/>
      <w:bookmarkStart w:id="351" w:name="_Toc296503194"/>
      <w:bookmarkStart w:id="352" w:name="_Toc297216200"/>
      <w:bookmarkStart w:id="353" w:name="_Toc296891022"/>
      <w:bookmarkStart w:id="354" w:name="_Toc297048380"/>
      <w:bookmarkStart w:id="355" w:name="_Toc312678026"/>
      <w:bookmarkStart w:id="356" w:name="_Toc292559399"/>
      <w:bookmarkStart w:id="357" w:name="_Toc297120494"/>
      <w:bookmarkStart w:id="358" w:name="_Toc296347193"/>
      <w:bookmarkStart w:id="359" w:name="_Toc300934990"/>
      <w:bookmarkStart w:id="360" w:name="_Toc292559904"/>
      <w:r>
        <w:rPr>
          <w:rFonts w:hint="eastAsia" w:cs="宋体"/>
          <w:bCs/>
          <w:color w:val="auto"/>
          <w:sz w:val="21"/>
          <w:szCs w:val="21"/>
        </w:rPr>
        <w:t>0.1 变更的范围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关于变更的范围的约定：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10.4 变更估价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10.4.1 变更估价原则</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关于变更估价的约定：</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10.4.1.1 因工程变更引起已标价工程量清单项目或其工程数量发生变化时，按下列规定调整：</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(1)已标价工程量清单中有适用于变更工程项目的，采用该项目的单价，除外情形：①对于投标报价中分部分项工程项目单价高于最高投标限价相应子目单价的清单项目，工程量增加幅度超过本项目工程数量15%的，超过15%的增加部分工程量的单价按最高投标限价相应子目单价与承包人报价浮动率</w:t>
      </w:r>
      <w:r>
        <w:rPr>
          <w:rFonts w:hint="eastAsia" w:cs="宋体"/>
          <w:b/>
          <w:bCs/>
          <w:color w:val="auto"/>
          <w:sz w:val="21"/>
          <w:szCs w:val="21"/>
          <w:u w:val="single"/>
        </w:rPr>
        <w:t>【承包人报价浮动率L=（1—中标价/最高投标限价）×100%，下同】</w:t>
      </w:r>
      <w:r>
        <w:rPr>
          <w:rFonts w:hint="eastAsia" w:cs="宋体"/>
          <w:b/>
          <w:color w:val="auto"/>
          <w:sz w:val="21"/>
          <w:szCs w:val="21"/>
          <w:u w:val="single"/>
        </w:rPr>
        <w:t>同比下浮，确定工程变更单价，作为结算的依据，但最高投标限价相应子目单价有明显错误的除外；②对于投标报价中分部分项工程项目单价低于最高投标限价相应子目单价的幅度超过承包人报价浮动率的，工程量减少幅度超过本项目工程数量15%的，超过15%的减少部分工程量的单价按最高投标限价相应子目单价与承包人报价浮动率同比下浮，确定工程变更单价，作为结算的依据，但最高投标限价相应子目单价有明显错误的除外；</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rPr>
        <w:t>（2）</w:t>
      </w:r>
      <w:r>
        <w:rPr>
          <w:rFonts w:hint="eastAsia" w:cs="宋体"/>
          <w:b/>
          <w:color w:val="auto"/>
          <w:sz w:val="21"/>
          <w:szCs w:val="21"/>
          <w:u w:val="single"/>
        </w:rPr>
        <w:t>已标价工程量清单中没有适用但有类似于变更工程项目的，可在合理范围内参照类似项目的单价。</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3）已标价工程量清单中没有适用也没有类似于变更工程项目的，由承包人根据变更工程资料、招标时的计量规则和计价办法、当期的工程造价管理机构发布的信息价格和承包人报价浮动率提出变更工程项目的单价，报发包人确认后调整； </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4）已标价工程量清单中没有适用也没有类似于变更工程项目的，且工程造价管理机构发布的信息价缺价的，由承包人根据变更工程资料、招标时的计量规则和计价办法和通过市场调查等取得有合法依据的市场价格和承包人报价浮动率提出变更工程项目的单价，报发包人确认后调整。 </w:t>
      </w:r>
    </w:p>
    <w:p>
      <w:pPr>
        <w:adjustRightInd w:val="0"/>
        <w:snapToGrid w:val="0"/>
        <w:spacing w:before="93" w:beforeLines="30" w:line="360" w:lineRule="auto"/>
        <w:ind w:firstLine="422" w:firstLineChars="200"/>
        <w:rPr>
          <w:rFonts w:cs="宋体"/>
          <w:b/>
          <w:color w:val="auto"/>
          <w:sz w:val="21"/>
          <w:szCs w:val="21"/>
        </w:rPr>
      </w:pPr>
      <w:r>
        <w:rPr>
          <w:rFonts w:hint="eastAsia" w:cs="宋体"/>
          <w:b/>
          <w:color w:val="auto"/>
          <w:sz w:val="21"/>
          <w:szCs w:val="21"/>
        </w:rPr>
        <w:t>10.4.1.2 工程变更引起施工方案改变并使措施项目发生变化时，承包人提出调整措施项目费的，应事前将拟实施的方案提交发包人确认，并应详细说明与原方案措施项目相比的变化情况。拟实施的方案经发承包双方确认后执行，并应按照下列规定调整措施项目费：</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（1）按照费率计算的措施费，应按照实际发生变化的措施项目依据原招标文件规定的费率计算；</w:t>
      </w:r>
    </w:p>
    <w:p>
      <w:pPr>
        <w:adjustRightInd w:val="0"/>
        <w:snapToGrid w:val="0"/>
        <w:spacing w:before="93" w:beforeLines="30" w:line="360" w:lineRule="auto"/>
        <w:ind w:firstLine="422" w:firstLineChars="200"/>
        <w:jc w:val="left"/>
        <w:rPr>
          <w:rFonts w:cs="宋体"/>
          <w:b/>
          <w:color w:val="auto"/>
          <w:sz w:val="21"/>
          <w:szCs w:val="21"/>
          <w:u w:val="single"/>
        </w:rPr>
      </w:pPr>
      <w:r>
        <w:rPr>
          <w:rFonts w:hint="eastAsia" w:cs="宋体"/>
          <w:b/>
          <w:color w:val="auto"/>
          <w:sz w:val="21"/>
          <w:szCs w:val="21"/>
          <w:u w:val="single"/>
        </w:rPr>
        <w:t>（2）按照单价计算的措施项目费，应按照实际发生变化的措施项目，按本合同专业条款第10.4.1.1目计算；</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（3）按总价（或系数）计算的措施项目费，应按照实际发生变化的措施项目和承包人报价浮动率同比下浮标准，提出新的措施项目费，作为结算的依据；</w:t>
      </w:r>
    </w:p>
    <w:p>
      <w:pPr>
        <w:adjustRightInd w:val="0"/>
        <w:snapToGrid w:val="0"/>
        <w:spacing w:before="93" w:beforeLines="30" w:line="360" w:lineRule="auto"/>
        <w:ind w:firstLine="422" w:firstLineChars="200"/>
        <w:rPr>
          <w:rFonts w:cs="宋体"/>
          <w:b/>
          <w:strike/>
          <w:color w:val="auto"/>
          <w:sz w:val="21"/>
          <w:szCs w:val="21"/>
          <w:u w:val="single"/>
        </w:rPr>
      </w:pPr>
      <w:r>
        <w:rPr>
          <w:rFonts w:hint="eastAsia" w:cs="宋体"/>
          <w:b/>
          <w:color w:val="auto"/>
          <w:sz w:val="21"/>
          <w:szCs w:val="21"/>
          <w:u w:val="single"/>
        </w:rPr>
        <w:t>（4）如果承包人未事前将拟实施的方案提交给发包人确认，则应视为工程变更不引起措施项目费的调整或承包人放弃调整措施项目费的权利。</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Start w:id="361" w:name="_Toc297123544"/>
      <w:bookmarkStart w:id="362" w:name="_Toc296944536"/>
      <w:bookmarkStart w:id="363" w:name="_Toc300934993"/>
      <w:bookmarkStart w:id="364" w:name="_Toc296347196"/>
      <w:bookmarkStart w:id="365" w:name="_Toc292559907"/>
      <w:bookmarkStart w:id="366" w:name="_Toc296891025"/>
      <w:bookmarkStart w:id="367" w:name="_Toc292559402"/>
      <w:bookmarkStart w:id="368" w:name="_Toc296503197"/>
      <w:bookmarkStart w:id="369" w:name="_Toc296891237"/>
      <w:bookmarkStart w:id="370" w:name="_Toc297048383"/>
      <w:bookmarkStart w:id="371" w:name="_Toc297120497"/>
      <w:bookmarkStart w:id="372" w:name="_Toc297216203"/>
      <w:bookmarkStart w:id="373" w:name="_Toc303539150"/>
      <w:bookmarkStart w:id="374" w:name="_Toc296346698"/>
      <w:bookmarkStart w:id="375" w:name="_Toc304295570"/>
      <w:bookmarkStart w:id="376" w:name="_Toc312678029"/>
      <w:bookmarkStart w:id="377" w:name="_Toc312677503"/>
      <w:r>
        <w:rPr>
          <w:rFonts w:hint="eastAsia" w:cs="宋体"/>
          <w:bCs/>
          <w:color w:val="auto"/>
          <w:sz w:val="21"/>
          <w:szCs w:val="21"/>
        </w:rPr>
        <w:t>0.5 承</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Start w:id="378" w:name="_Toc296891243"/>
      <w:bookmarkStart w:id="379" w:name="_Toc296891031"/>
      <w:bookmarkStart w:id="380" w:name="_Toc303539151"/>
      <w:bookmarkStart w:id="381" w:name="_Toc297123545"/>
      <w:bookmarkStart w:id="382" w:name="_Toc292559913"/>
      <w:bookmarkStart w:id="383" w:name="_Toc296503203"/>
      <w:bookmarkStart w:id="384" w:name="_Toc297120503"/>
      <w:bookmarkStart w:id="385" w:name="_Toc292559408"/>
      <w:bookmarkStart w:id="386" w:name="_Toc297048389"/>
      <w:bookmarkStart w:id="387" w:name="_Toc300934994"/>
      <w:bookmarkStart w:id="388" w:name="_Toc297216204"/>
      <w:bookmarkStart w:id="389" w:name="_Toc296346704"/>
      <w:bookmarkStart w:id="390" w:name="_Toc296347202"/>
      <w:bookmarkStart w:id="391" w:name="_Toc296944542"/>
      <w:r>
        <w:rPr>
          <w:rFonts w:hint="eastAsia" w:cs="宋体"/>
          <w:bCs/>
          <w:color w:val="auto"/>
          <w:sz w:val="21"/>
          <w:szCs w:val="21"/>
        </w:rPr>
        <w:t>包人的合理化建议</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监理人审查承包人合理化建议的期限：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w:t>
      </w:r>
      <w:bookmarkStart w:id="392" w:name="_Toc296944543"/>
      <w:bookmarkStart w:id="393" w:name="_Toc304295571"/>
      <w:bookmarkStart w:id="394" w:name="_Toc292559914"/>
      <w:bookmarkStart w:id="395" w:name="_Toc312678030"/>
      <w:bookmarkStart w:id="396" w:name="_Toc296891032"/>
      <w:bookmarkStart w:id="397" w:name="_Toc296503204"/>
      <w:bookmarkStart w:id="398" w:name="_Toc297120504"/>
      <w:bookmarkStart w:id="399" w:name="_Toc297048390"/>
      <w:bookmarkStart w:id="400" w:name="_Toc296891244"/>
      <w:bookmarkStart w:id="401" w:name="_Toc297216205"/>
      <w:bookmarkStart w:id="402" w:name="_Toc297123546"/>
      <w:bookmarkStart w:id="403" w:name="_Toc292559409"/>
      <w:bookmarkStart w:id="404" w:name="_Toc296346705"/>
      <w:bookmarkStart w:id="405" w:name="_Toc300934995"/>
      <w:bookmarkStart w:id="406" w:name="_Toc312677504"/>
      <w:bookmarkStart w:id="407" w:name="_Toc303539152"/>
      <w:bookmarkStart w:id="408" w:name="_Toc296347203"/>
      <w:bookmarkStart w:id="409" w:name="_Toc318581175"/>
      <w:r>
        <w:rPr>
          <w:rFonts w:hint="eastAsia" w:cs="宋体"/>
          <w:color w:val="auto"/>
          <w:sz w:val="21"/>
          <w:szCs w:val="21"/>
        </w:rPr>
        <w:t>包人提出的合理化建议降低了合同价格或者提高了工程经济效益的奖励的方法和金额为：</w:t>
      </w:r>
      <w:r>
        <w:rPr>
          <w:rFonts w:hint="eastAsia" w:cs="宋体"/>
          <w:color w:val="auto"/>
          <w:sz w:val="21"/>
          <w:szCs w:val="21"/>
          <w:u w:val="single"/>
        </w:rPr>
        <w:t xml:space="preserve">       </w:t>
      </w:r>
      <w:r>
        <w:rPr>
          <w:rFonts w:hint="eastAsia" w:cs="宋体"/>
          <w:color w:val="auto"/>
          <w:sz w:val="21"/>
          <w:szCs w:val="21"/>
        </w:rPr>
        <w:t>。</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410" w:name="_Toc296891239"/>
      <w:bookmarkStart w:id="411" w:name="_Toc297048385"/>
      <w:bookmarkStart w:id="412" w:name="_Toc296944538"/>
      <w:bookmarkStart w:id="413" w:name="_Toc296891027"/>
      <w:bookmarkStart w:id="414" w:name="_Toc292559909"/>
      <w:bookmarkStart w:id="415" w:name="_Toc296347198"/>
      <w:bookmarkStart w:id="416" w:name="_Toc296503199"/>
      <w:bookmarkStart w:id="417" w:name="_Toc297216207"/>
      <w:bookmarkStart w:id="418" w:name="_Toc297120499"/>
      <w:bookmarkStart w:id="419" w:name="_Toc297123548"/>
      <w:bookmarkStart w:id="420" w:name="_Toc312678033"/>
      <w:bookmarkStart w:id="421" w:name="_Toc312677507"/>
      <w:bookmarkStart w:id="422" w:name="_Toc292559404"/>
      <w:bookmarkStart w:id="423" w:name="_Toc303539154"/>
      <w:bookmarkStart w:id="424" w:name="_Toc304295574"/>
      <w:bookmarkStart w:id="425" w:name="_Toc300934997"/>
      <w:bookmarkStart w:id="426" w:name="_Toc296346700"/>
      <w:r>
        <w:rPr>
          <w:rFonts w:hint="eastAsia" w:cs="宋体"/>
          <w:bCs/>
          <w:color w:val="auto"/>
          <w:sz w:val="21"/>
          <w:szCs w:val="21"/>
        </w:rPr>
        <w:t>0.7 暂估价</w:t>
      </w:r>
    </w:p>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暂</w:t>
      </w:r>
      <w:bookmarkStart w:id="427" w:name="_Toc318581176"/>
      <w:bookmarkStart w:id="428" w:name="_Toc312678034"/>
      <w:bookmarkStart w:id="429" w:name="_Toc312677508"/>
      <w:r>
        <w:rPr>
          <w:rFonts w:hint="eastAsia" w:cs="宋体"/>
          <w:color w:val="auto"/>
          <w:sz w:val="21"/>
          <w:szCs w:val="21"/>
        </w:rPr>
        <w:t>估价材料和工程设备的明细见附件12：《暂估价一览表》。</w:t>
      </w:r>
    </w:p>
    <w:bookmarkEnd w:id="427"/>
    <w:bookmarkEnd w:id="428"/>
    <w:bookmarkEnd w:id="42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430" w:name="_Toc312677509"/>
      <w:bookmarkStart w:id="431" w:name="_Toc312678035"/>
      <w:bookmarkStart w:id="432" w:name="_Toc318581177"/>
      <w:r>
        <w:rPr>
          <w:rFonts w:hint="eastAsia" w:cs="宋体"/>
          <w:color w:val="auto"/>
          <w:sz w:val="21"/>
          <w:szCs w:val="21"/>
        </w:rPr>
        <w:t>0.7.1 依法必须招标的暂估价项目</w:t>
      </w:r>
    </w:p>
    <w:bookmarkEnd w:id="430"/>
    <w:bookmarkEnd w:id="431"/>
    <w:bookmarkEnd w:id="432"/>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对于依法必须招标的暂估价项目的确认和批准采取第</w:t>
      </w:r>
      <w:r>
        <w:rPr>
          <w:rFonts w:hint="eastAsia" w:cs="宋体"/>
          <w:color w:val="auto"/>
          <w:sz w:val="21"/>
          <w:szCs w:val="21"/>
          <w:u w:val="single"/>
        </w:rPr>
        <w:t>2</w:t>
      </w:r>
      <w:r>
        <w:rPr>
          <w:rFonts w:hint="eastAsia" w:cs="宋体"/>
          <w:color w:val="auto"/>
          <w:sz w:val="21"/>
          <w:szCs w:val="21"/>
        </w:rPr>
        <w:t>种方式确定。</w:t>
      </w:r>
      <w:r>
        <w:rPr>
          <w:rFonts w:hint="eastAsia" w:cs="宋体"/>
          <w:b/>
          <w:color w:val="auto"/>
          <w:sz w:val="21"/>
          <w:szCs w:val="21"/>
          <w:u w:val="single"/>
        </w:rPr>
        <w:t>并应按相关规定进行二次招标</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10.7.2 不属于依法必须招标的暂估价项目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对于不属于依法必须招标的暂估价项目的确认和批准采取第</w:t>
      </w:r>
      <w:r>
        <w:rPr>
          <w:rFonts w:hint="eastAsia" w:cs="宋体"/>
          <w:color w:val="auto"/>
          <w:sz w:val="21"/>
          <w:szCs w:val="21"/>
          <w:u w:val="single"/>
        </w:rPr>
        <w:t>1</w:t>
      </w:r>
      <w:r>
        <w:rPr>
          <w:rFonts w:hint="eastAsia" w:cs="宋体"/>
          <w:color w:val="auto"/>
          <w:sz w:val="21"/>
          <w:szCs w:val="21"/>
        </w:rPr>
        <w:t>种方式确定。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第3种方式：承包人直接实施的暂估价项目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承包人直接实施的暂估价项目的约定：</w:t>
      </w:r>
      <w:r>
        <w:rPr>
          <w:rFonts w:hint="eastAsia" w:cs="宋体"/>
          <w:color w:val="auto"/>
          <w:sz w:val="21"/>
          <w:szCs w:val="21"/>
          <w:u w:val="single"/>
        </w:rPr>
        <w:t xml:space="preserve">  /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10.8 暂列金额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合同当事人关于暂列金额使用的约定：</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433" w:name="_Toc351203643"/>
      <w:r>
        <w:rPr>
          <w:rFonts w:hint="eastAsia" w:cs="宋体"/>
          <w:color w:val="auto"/>
          <w:sz w:val="21"/>
          <w:szCs w:val="21"/>
        </w:rPr>
        <w:t>11. 价格调整</w:t>
      </w:r>
      <w:bookmarkEnd w:id="433"/>
    </w:p>
    <w:p>
      <w:pPr>
        <w:keepNext/>
        <w:keepLines/>
        <w:snapToGrid w:val="0"/>
        <w:spacing w:before="120" w:after="120" w:line="360" w:lineRule="auto"/>
        <w:ind w:firstLine="420" w:firstLineChars="200"/>
        <w:outlineLvl w:val="3"/>
        <w:rPr>
          <w:rFonts w:cs="宋体"/>
          <w:bCs/>
          <w:color w:val="auto"/>
          <w:sz w:val="21"/>
          <w:szCs w:val="21"/>
        </w:rPr>
      </w:pPr>
      <w:bookmarkStart w:id="434" w:name="_Toc297120501"/>
      <w:bookmarkStart w:id="435" w:name="_Toc296503201"/>
      <w:bookmarkStart w:id="436" w:name="_Toc296944540"/>
      <w:bookmarkStart w:id="437" w:name="_Toc292559406"/>
      <w:bookmarkStart w:id="438" w:name="_Toc292559911"/>
      <w:bookmarkStart w:id="439" w:name="_Toc296891029"/>
      <w:bookmarkStart w:id="440" w:name="_Toc303539157"/>
      <w:bookmarkStart w:id="441" w:name="_Toc296891241"/>
      <w:bookmarkStart w:id="442" w:name="_Toc297123550"/>
      <w:bookmarkStart w:id="443" w:name="_Toc296347200"/>
      <w:bookmarkStart w:id="444" w:name="_Toc296346702"/>
      <w:bookmarkStart w:id="445" w:name="_Toc300935000"/>
      <w:bookmarkStart w:id="446" w:name="_Toc297216209"/>
      <w:bookmarkStart w:id="447" w:name="_Toc297048387"/>
      <w:bookmarkStart w:id="448" w:name="_Toc304295577"/>
      <w:bookmarkStart w:id="449" w:name="_Toc312678039"/>
      <w:r>
        <w:rPr>
          <w:rFonts w:hint="eastAsia" w:cs="宋体"/>
          <w:bCs/>
          <w:color w:val="auto"/>
          <w:sz w:val="21"/>
          <w:szCs w:val="21"/>
        </w:rPr>
        <w:t>11.1 市场价格波动引起的调整</w:t>
      </w:r>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市场价格波动是否调整合同价格的约定：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因市场价格波动调整合同价格，采用以下第</w:t>
      </w:r>
      <w:r>
        <w:rPr>
          <w:rFonts w:hint="eastAsia" w:cs="宋体"/>
          <w:color w:val="auto"/>
          <w:sz w:val="21"/>
          <w:szCs w:val="21"/>
          <w:u w:val="single"/>
        </w:rPr>
        <w:t xml:space="preserve">    </w:t>
      </w:r>
      <w:r>
        <w:rPr>
          <w:rFonts w:hint="eastAsia" w:cs="宋体"/>
          <w:color w:val="auto"/>
          <w:sz w:val="21"/>
          <w:szCs w:val="21"/>
        </w:rPr>
        <w:t>种方式对合同价格进行调整：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第1种方式：采用价格指数进行价格调整。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关于各可调因子、定值和变值权重，以及基本价格指数及其来源的约定：</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第2种方式：采用造价信息进行价格调整。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（1）可调整价格的主要材料范围的约定：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（2）主要材料价差调整周期的约定：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（3）主要材料价差调整计算方法的约定：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（4）主要材料价差调整时间的约定：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（2）关于基准价格的约定：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①承包人在已标价工程量清单或预算书中载明的材料单价低于基准价格的：专用合同条款合同履行期间材料单价涨幅以基准价格为基础超过</w:t>
      </w:r>
      <w:r>
        <w:rPr>
          <w:rFonts w:hint="eastAsia" w:cs="宋体"/>
          <w:color w:val="auto"/>
          <w:sz w:val="21"/>
          <w:szCs w:val="21"/>
          <w:u w:val="single"/>
        </w:rPr>
        <w:t xml:space="preserve">    </w:t>
      </w:r>
      <w:r>
        <w:rPr>
          <w:rFonts w:hint="eastAsia" w:cs="宋体"/>
          <w:color w:val="auto"/>
          <w:sz w:val="21"/>
          <w:szCs w:val="21"/>
        </w:rPr>
        <w:t>%时，或材料单价跌幅以已标价工程量清单或预算书中载明材料单价为基础超过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②承包人在已标价工程量清单或预算书中载明的材料单价高于基准价格的：专用合同条款合同履行期间材料单价跌幅以基准价格为基础超过</w:t>
      </w:r>
      <w:r>
        <w:rPr>
          <w:rFonts w:hint="eastAsia" w:cs="宋体"/>
          <w:color w:val="auto"/>
          <w:sz w:val="21"/>
          <w:szCs w:val="21"/>
          <w:u w:val="single"/>
        </w:rPr>
        <w:t xml:space="preserve">    </w:t>
      </w:r>
      <w:r>
        <w:rPr>
          <w:rFonts w:hint="eastAsia" w:cs="宋体"/>
          <w:color w:val="auto"/>
          <w:sz w:val="21"/>
          <w:szCs w:val="21"/>
        </w:rPr>
        <w:t>%时，材料单价涨幅以已标价工程量清单或预算书中载明材料单价为基础超过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③承包人在已标价工程量清单或预算书中载明的材料单价等于基准单价的：专用合同条款合同履行期间材料单价涨跌幅以基准单价为基础超过±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第3种方式：其他价格调整方式：</w:t>
      </w:r>
      <w:r>
        <w:rPr>
          <w:rFonts w:hint="eastAsia" w:cs="宋体"/>
          <w:color w:val="auto"/>
          <w:sz w:val="21"/>
          <w:szCs w:val="21"/>
          <w:u w:val="single"/>
        </w:rPr>
        <w:t xml:space="preserve">           </w:t>
      </w:r>
      <w:r>
        <w:rPr>
          <w:rFonts w:hint="eastAsia" w:cs="宋体"/>
          <w:color w:val="auto"/>
          <w:sz w:val="21"/>
          <w:szCs w:val="21"/>
        </w:rPr>
        <w:t>。</w:t>
      </w:r>
    </w:p>
    <w:bookmarkEnd w:id="337"/>
    <w:bookmarkEnd w:id="338"/>
    <w:bookmarkEnd w:id="339"/>
    <w:bookmarkEnd w:id="340"/>
    <w:bookmarkEnd w:id="341"/>
    <w:bookmarkEnd w:id="342"/>
    <w:p>
      <w:pPr>
        <w:snapToGrid w:val="0"/>
        <w:spacing w:before="312" w:beforeLines="100" w:after="312" w:afterLines="100" w:line="360" w:lineRule="auto"/>
        <w:outlineLvl w:val="2"/>
        <w:rPr>
          <w:rFonts w:cs="宋体"/>
          <w:color w:val="auto"/>
          <w:sz w:val="21"/>
          <w:szCs w:val="21"/>
        </w:rPr>
      </w:pPr>
      <w:bookmarkStart w:id="450" w:name="_Toc296346706"/>
      <w:bookmarkStart w:id="451" w:name="_Toc292559915"/>
      <w:bookmarkStart w:id="452" w:name="_Toc296891033"/>
      <w:bookmarkStart w:id="453" w:name="_Toc296347204"/>
      <w:bookmarkStart w:id="454" w:name="_Toc297120505"/>
      <w:bookmarkStart w:id="455" w:name="_Toc296891245"/>
      <w:bookmarkStart w:id="456" w:name="_Toc297048391"/>
      <w:bookmarkStart w:id="457" w:name="_Toc292559410"/>
      <w:bookmarkStart w:id="458" w:name="_Toc296944544"/>
      <w:bookmarkStart w:id="459" w:name="_Toc296503205"/>
      <w:bookmarkStart w:id="460" w:name="_Toc351203644"/>
      <w:bookmarkStart w:id="461" w:name="_Toc303539159"/>
      <w:bookmarkStart w:id="462" w:name="_Toc297123552"/>
      <w:bookmarkStart w:id="463" w:name="_Toc297216211"/>
      <w:bookmarkStart w:id="464" w:name="_Toc312678040"/>
      <w:bookmarkStart w:id="465" w:name="_Toc304295579"/>
      <w:bookmarkStart w:id="466" w:name="_Toc300935002"/>
      <w:r>
        <w:rPr>
          <w:rFonts w:hint="eastAsia" w:cs="宋体"/>
          <w:color w:val="auto"/>
          <w:sz w:val="21"/>
          <w:szCs w:val="21"/>
        </w:rPr>
        <w:t xml:space="preserve">12. </w:t>
      </w:r>
      <w:bookmarkEnd w:id="450"/>
      <w:bookmarkEnd w:id="451"/>
      <w:bookmarkEnd w:id="452"/>
      <w:bookmarkEnd w:id="453"/>
      <w:bookmarkEnd w:id="454"/>
      <w:bookmarkEnd w:id="455"/>
      <w:bookmarkEnd w:id="456"/>
      <w:bookmarkEnd w:id="457"/>
      <w:bookmarkEnd w:id="458"/>
      <w:bookmarkEnd w:id="459"/>
      <w:r>
        <w:rPr>
          <w:rFonts w:hint="eastAsia" w:cs="宋体"/>
          <w:color w:val="auto"/>
          <w:sz w:val="21"/>
          <w:szCs w:val="21"/>
        </w:rPr>
        <w:t>合同价格、计量与支付</w:t>
      </w:r>
      <w:bookmarkEnd w:id="460"/>
    </w:p>
    <w:bookmarkEnd w:id="461"/>
    <w:bookmarkEnd w:id="462"/>
    <w:bookmarkEnd w:id="463"/>
    <w:bookmarkEnd w:id="464"/>
    <w:bookmarkEnd w:id="465"/>
    <w:bookmarkEnd w:id="466"/>
    <w:p>
      <w:pPr>
        <w:keepNext/>
        <w:keepLines/>
        <w:snapToGrid w:val="0"/>
        <w:spacing w:before="120" w:after="120" w:line="360" w:lineRule="auto"/>
        <w:ind w:firstLine="420" w:firstLineChars="200"/>
        <w:outlineLvl w:val="3"/>
        <w:rPr>
          <w:rFonts w:cs="宋体"/>
          <w:bCs/>
          <w:color w:val="auto"/>
          <w:sz w:val="21"/>
          <w:szCs w:val="21"/>
        </w:rPr>
      </w:pPr>
      <w:bookmarkStart w:id="467" w:name="_Toc292559411"/>
      <w:bookmarkStart w:id="468" w:name="_Toc267251461"/>
      <w:bookmarkStart w:id="469" w:name="_Toc292559916"/>
      <w:bookmarkStart w:id="470" w:name="_Toc296891034"/>
      <w:bookmarkStart w:id="471" w:name="_Toc296346707"/>
      <w:bookmarkStart w:id="472" w:name="_Toc296891246"/>
      <w:bookmarkStart w:id="473" w:name="_Toc296503206"/>
      <w:bookmarkStart w:id="474" w:name="_Toc296944545"/>
      <w:bookmarkStart w:id="475" w:name="_Toc296347205"/>
      <w:bookmarkStart w:id="476" w:name="_Toc297048392"/>
      <w:bookmarkStart w:id="477" w:name="_Toc297120506"/>
      <w:bookmarkStart w:id="478" w:name="_Toc297216212"/>
      <w:bookmarkStart w:id="479" w:name="_Toc303539160"/>
      <w:bookmarkStart w:id="480" w:name="_Toc312678041"/>
      <w:bookmarkStart w:id="481" w:name="_Toc300935003"/>
      <w:bookmarkStart w:id="482" w:name="_Toc297123553"/>
      <w:bookmarkStart w:id="483" w:name="_Toc304295580"/>
      <w:r>
        <w:rPr>
          <w:rFonts w:hint="eastAsia" w:cs="宋体"/>
          <w:bCs/>
          <w:color w:val="auto"/>
          <w:sz w:val="21"/>
          <w:szCs w:val="21"/>
        </w:rPr>
        <w:t>12.1 合</w:t>
      </w:r>
      <w:bookmarkEnd w:id="467"/>
      <w:bookmarkEnd w:id="468"/>
      <w:bookmarkEnd w:id="469"/>
      <w:r>
        <w:rPr>
          <w:rFonts w:hint="eastAsia" w:cs="宋体"/>
          <w:bCs/>
          <w:color w:val="auto"/>
          <w:sz w:val="21"/>
          <w:szCs w:val="21"/>
        </w:rPr>
        <w:t>同价</w:t>
      </w:r>
      <w:bookmarkEnd w:id="470"/>
      <w:bookmarkEnd w:id="471"/>
      <w:bookmarkEnd w:id="472"/>
      <w:bookmarkEnd w:id="473"/>
      <w:bookmarkEnd w:id="474"/>
      <w:bookmarkEnd w:id="475"/>
      <w:bookmarkEnd w:id="476"/>
      <w:bookmarkEnd w:id="477"/>
      <w:r>
        <w:rPr>
          <w:rFonts w:hint="eastAsia" w:cs="宋体"/>
          <w:bCs/>
          <w:color w:val="auto"/>
          <w:sz w:val="21"/>
          <w:szCs w:val="21"/>
        </w:rPr>
        <w:t>格形式</w:t>
      </w:r>
    </w:p>
    <w:bookmarkEnd w:id="478"/>
    <w:bookmarkEnd w:id="479"/>
    <w:bookmarkEnd w:id="480"/>
    <w:bookmarkEnd w:id="481"/>
    <w:bookmarkEnd w:id="482"/>
    <w:bookmarkEnd w:id="48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综合单价包含的风险范围：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总价包含的风险范围：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（3）其他价格方式：</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bookmarkStart w:id="484" w:name="_Toc304295581"/>
      <w:bookmarkStart w:id="485" w:name="_Toc300935004"/>
      <w:bookmarkStart w:id="486" w:name="_Toc303539161"/>
      <w:bookmarkStart w:id="487" w:name="_Toc297216213"/>
      <w:bookmarkStart w:id="488" w:name="_Toc297123554"/>
      <w:bookmarkStart w:id="489" w:name="_Toc312678042"/>
      <w:bookmarkStart w:id="490" w:name="_Toc296944546"/>
      <w:bookmarkStart w:id="491" w:name="_Toc292559917"/>
      <w:bookmarkStart w:id="492" w:name="_Toc296346708"/>
      <w:bookmarkStart w:id="493" w:name="_Toc296347206"/>
      <w:bookmarkStart w:id="494" w:name="_Toc292559412"/>
      <w:bookmarkStart w:id="495" w:name="_Toc297120507"/>
      <w:bookmarkStart w:id="496" w:name="_Toc296891247"/>
      <w:bookmarkStart w:id="497" w:name="_Toc296891035"/>
      <w:bookmarkStart w:id="498" w:name="_Toc297048393"/>
      <w:bookmarkStart w:id="499" w:name="_Toc296503207"/>
      <w:r>
        <w:rPr>
          <w:rFonts w:hint="eastAsia" w:cs="宋体"/>
          <w:bCs/>
          <w:color w:val="auto"/>
          <w:sz w:val="21"/>
          <w:szCs w:val="21"/>
        </w:rPr>
        <w:t>12.2 预付款</w:t>
      </w:r>
    </w:p>
    <w:bookmarkEnd w:id="484"/>
    <w:bookmarkEnd w:id="485"/>
    <w:bookmarkEnd w:id="486"/>
    <w:bookmarkEnd w:id="487"/>
    <w:bookmarkEnd w:id="488"/>
    <w:bookmarkEnd w:id="48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12.2.1 预付款的支付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预付款支付比例或金额：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预付款扣回的方式：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12.2.2 预付款担保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承包人提交预付款担保的期限：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预付款担保的形式为：</w:t>
      </w:r>
      <w:r>
        <w:rPr>
          <w:rFonts w:hint="eastAsia" w:cs="宋体"/>
          <w:color w:val="auto"/>
          <w:sz w:val="21"/>
          <w:szCs w:val="21"/>
          <w:u w:val="single"/>
        </w:rPr>
        <w:t>见《专用合同条款数据表》</w:t>
      </w:r>
      <w:r>
        <w:rPr>
          <w:rFonts w:hint="eastAsia" w:cs="宋体"/>
          <w:color w:val="auto"/>
          <w:sz w:val="21"/>
          <w:szCs w:val="21"/>
        </w:rPr>
        <w:t>。</w:t>
      </w:r>
    </w:p>
    <w:bookmarkEnd w:id="490"/>
    <w:bookmarkEnd w:id="491"/>
    <w:bookmarkEnd w:id="492"/>
    <w:bookmarkEnd w:id="493"/>
    <w:bookmarkEnd w:id="494"/>
    <w:bookmarkEnd w:id="495"/>
    <w:bookmarkEnd w:id="496"/>
    <w:bookmarkEnd w:id="497"/>
    <w:bookmarkEnd w:id="498"/>
    <w:bookmarkEnd w:id="49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12.3 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12.3.1 计量原则</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工程量计算规则：</w:t>
      </w:r>
      <w:r>
        <w:rPr>
          <w:rFonts w:hint="eastAsia" w:cs="宋体"/>
          <w:color w:val="auto"/>
          <w:sz w:val="21"/>
          <w:szCs w:val="21"/>
          <w:u w:val="single"/>
        </w:rPr>
        <w:t>按招标工程量清单及最高投标限价所采用的工程量清单计价规范及配套文件等</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12.3.2 计量周期</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关于计量周期的约定</w:t>
      </w:r>
      <w:r>
        <w:rPr>
          <w:rFonts w:hint="eastAsia" w:cs="宋体"/>
          <w:b/>
          <w:color w:val="auto"/>
          <w:sz w:val="21"/>
          <w:szCs w:val="21"/>
        </w:rPr>
        <w:t>：</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12.3.3 单价合同的计量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关于单价合同计量的约定：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12.3.4 总价合同的计量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关于总价合同计量的约定：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12.3.5 总价合同采用支付分解表计量支付的，是否适用第12.3.4项〔总价合同的计量〕约定进行计量：</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12.3.6 其他价格形式合同的计量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其他价格形式的计量方式和程序：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12.4 工程进度款支付</w:t>
      </w:r>
    </w:p>
    <w:p>
      <w:pPr>
        <w:adjustRightInd w:val="0"/>
        <w:snapToGrid w:val="0"/>
        <w:spacing w:line="360" w:lineRule="auto"/>
        <w:ind w:firstLine="420" w:firstLineChars="200"/>
        <w:rPr>
          <w:rFonts w:cs="宋体"/>
          <w:color w:val="auto"/>
          <w:sz w:val="21"/>
          <w:szCs w:val="21"/>
        </w:rPr>
      </w:pPr>
      <w:bookmarkStart w:id="500" w:name="_Toc296347210"/>
      <w:bookmarkStart w:id="501" w:name="_Toc296891251"/>
      <w:bookmarkStart w:id="502" w:name="_Toc296503211"/>
      <w:bookmarkStart w:id="503" w:name="_Toc300935006"/>
      <w:bookmarkStart w:id="504" w:name="_Toc296346712"/>
      <w:bookmarkStart w:id="505" w:name="_Toc297048397"/>
      <w:bookmarkStart w:id="506" w:name="_Toc296891039"/>
      <w:bookmarkStart w:id="507" w:name="_Toc296944550"/>
      <w:bookmarkStart w:id="508" w:name="_Toc292559921"/>
      <w:bookmarkStart w:id="509" w:name="_Toc303539163"/>
      <w:bookmarkStart w:id="510" w:name="_Toc297216215"/>
      <w:bookmarkStart w:id="511" w:name="_Toc297123556"/>
      <w:bookmarkStart w:id="512" w:name="_Toc297120511"/>
      <w:bookmarkStart w:id="513" w:name="_Toc292559416"/>
      <w:r>
        <w:rPr>
          <w:rFonts w:hint="eastAsia" w:cs="宋体"/>
          <w:color w:val="auto"/>
          <w:sz w:val="21"/>
          <w:szCs w:val="21"/>
        </w:rPr>
        <w:t>12.4.1 付款周期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关于付款周期的约定：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12.4.2 进度付款申请单的编制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关于进度付款申请单编制的约定：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Pr>
          <w:rFonts w:hint="eastAsia" w:cs="宋体"/>
          <w:color w:val="auto"/>
          <w:sz w:val="21"/>
          <w:szCs w:val="21"/>
        </w:rPr>
        <w:t>2.4.3 进度付款申请单的提交</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（2）总价合同进度付款申请单提交的约定：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（3）其他价格形式合同进度付款申请单提交的约定：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12.4.4 进度款审核和支付</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（1）监理人审查并报送发包人的期限：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发包人完成审批并签发进度款支付证书的期限：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（2）发包人支付进度款的期限：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发包人逾期支付进度款的违约金的计算方式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12.4.6 支付分解表的编制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（2）总价合同支付分解表的编制与审批：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（3）单价合同的总价项目支付分解表的编制与审批：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bCs/>
          <w:color w:val="auto"/>
          <w:sz w:val="21"/>
          <w:szCs w:val="21"/>
        </w:rPr>
        <w:t>12.4.7 农民工工资管理</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（1）</w:t>
      </w:r>
      <w:r>
        <w:rPr>
          <w:rFonts w:hint="eastAsia" w:cs="宋体"/>
          <w:bCs/>
          <w:color w:val="auto"/>
          <w:sz w:val="21"/>
          <w:szCs w:val="21"/>
        </w:rPr>
        <w:t>本工程农民工工资实行专用账户管理，承包人设立的专用账户开户行为</w:t>
      </w:r>
      <w:r>
        <w:rPr>
          <w:rFonts w:hint="eastAsia" w:cs="宋体"/>
          <w:bCs/>
          <w:color w:val="auto"/>
          <w:sz w:val="21"/>
          <w:szCs w:val="21"/>
          <w:u w:val="single"/>
        </w:rPr>
        <w:t xml:space="preserve">：        </w:t>
      </w:r>
      <w:r>
        <w:rPr>
          <w:rFonts w:hint="eastAsia" w:cs="宋体"/>
          <w:bCs/>
          <w:color w:val="auto"/>
          <w:sz w:val="21"/>
          <w:szCs w:val="21"/>
        </w:rPr>
        <w:t>，账号：</w:t>
      </w:r>
      <w:r>
        <w:rPr>
          <w:rFonts w:hint="eastAsia" w:cs="宋体"/>
          <w:bCs/>
          <w:color w:val="auto"/>
          <w:sz w:val="21"/>
          <w:szCs w:val="21"/>
          <w:u w:val="single"/>
        </w:rPr>
        <w:t xml:space="preserve">              </w:t>
      </w:r>
      <w:r>
        <w:rPr>
          <w:rFonts w:hint="eastAsia" w:cs="宋体"/>
          <w:bCs/>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（2）</w:t>
      </w:r>
      <w:r>
        <w:rPr>
          <w:rFonts w:hint="eastAsia" w:cs="宋体"/>
          <w:bCs/>
          <w:color w:val="auto"/>
          <w:sz w:val="21"/>
          <w:szCs w:val="21"/>
        </w:rPr>
        <w:t>本工程工资性工程款</w:t>
      </w:r>
      <w:r>
        <w:rPr>
          <w:rFonts w:hint="eastAsia" w:cs="宋体"/>
          <w:bCs/>
          <w:color w:val="auto"/>
          <w:sz w:val="21"/>
          <w:szCs w:val="21"/>
          <w:u w:val="single"/>
        </w:rPr>
        <w:t xml:space="preserve">         </w:t>
      </w:r>
      <w:r>
        <w:rPr>
          <w:rFonts w:hint="eastAsia" w:cs="宋体"/>
          <w:bCs/>
          <w:color w:val="auto"/>
          <w:sz w:val="21"/>
          <w:szCs w:val="21"/>
        </w:rPr>
        <w:t>元。</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（3）</w:t>
      </w:r>
      <w:r>
        <w:rPr>
          <w:rFonts w:hint="eastAsia" w:cs="宋体"/>
          <w:bCs/>
          <w:color w:val="auto"/>
          <w:sz w:val="21"/>
          <w:szCs w:val="21"/>
        </w:rPr>
        <w:t>发包人于每月25日前将工资性工程进度款转入农民工工资专用账户。</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（4）</w:t>
      </w:r>
      <w:r>
        <w:rPr>
          <w:rFonts w:hint="eastAsia" w:cs="宋体"/>
          <w:bCs/>
          <w:color w:val="auto"/>
          <w:sz w:val="21"/>
          <w:szCs w:val="21"/>
        </w:rPr>
        <w:t>承包人每月25日前上报本工程农民工工资清单，每月10日前委托开设农民工工资专用账户的银行支付农民工工资。</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（5）</w:t>
      </w:r>
      <w:r>
        <w:rPr>
          <w:rFonts w:hint="eastAsia" w:cs="宋体"/>
          <w:bCs/>
          <w:color w:val="auto"/>
          <w:sz w:val="21"/>
          <w:szCs w:val="21"/>
        </w:rPr>
        <w:t>工程竣工后，经项目部农民工维权组确认无农民工工资拖欠后，发、承双方办理农民工工资专用账户撤销手续，农民工工资专用账户余额划至本合同约定的承包人账户。</w:t>
      </w:r>
    </w:p>
    <w:bookmarkEnd w:id="343"/>
    <w:p>
      <w:pPr>
        <w:snapToGrid w:val="0"/>
        <w:spacing w:before="312" w:beforeLines="100" w:after="312" w:afterLines="100" w:line="360" w:lineRule="auto"/>
        <w:outlineLvl w:val="2"/>
        <w:rPr>
          <w:rFonts w:cs="宋体"/>
          <w:color w:val="auto"/>
          <w:sz w:val="21"/>
          <w:szCs w:val="21"/>
        </w:rPr>
      </w:pPr>
      <w:bookmarkStart w:id="514" w:name="_Toc351203645"/>
      <w:bookmarkStart w:id="515" w:name="_Toc300935015"/>
      <w:bookmarkStart w:id="516" w:name="_Toc312678053"/>
      <w:bookmarkStart w:id="517" w:name="_Toc296944558"/>
      <w:bookmarkStart w:id="518" w:name="_Toc296346720"/>
      <w:bookmarkStart w:id="519" w:name="_Toc297120519"/>
      <w:bookmarkStart w:id="520" w:name="_Toc297048405"/>
      <w:bookmarkStart w:id="521" w:name="_Toc297216223"/>
      <w:bookmarkStart w:id="522" w:name="_Toc296503219"/>
      <w:bookmarkStart w:id="523" w:name="_Toc296891047"/>
      <w:bookmarkStart w:id="524" w:name="_Toc292559929"/>
      <w:bookmarkStart w:id="525" w:name="_Toc304295593"/>
      <w:bookmarkStart w:id="526" w:name="_Toc292559424"/>
      <w:bookmarkStart w:id="527" w:name="_Toc296347218"/>
      <w:bookmarkStart w:id="528" w:name="_Toc303539172"/>
      <w:bookmarkStart w:id="529" w:name="_Toc297123564"/>
      <w:bookmarkStart w:id="530" w:name="_Toc296891259"/>
      <w:r>
        <w:rPr>
          <w:rFonts w:hint="eastAsia" w:cs="宋体"/>
          <w:color w:val="auto"/>
          <w:sz w:val="21"/>
          <w:szCs w:val="21"/>
        </w:rPr>
        <w:t>13. 验收和工程试车</w:t>
      </w:r>
      <w:bookmarkEnd w:id="514"/>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Pr>
        <w:keepNext/>
        <w:keepLines/>
        <w:snapToGrid w:val="0"/>
        <w:spacing w:before="120" w:after="120" w:line="360" w:lineRule="auto"/>
        <w:jc w:val="left"/>
        <w:outlineLvl w:val="2"/>
        <w:rPr>
          <w:rFonts w:cs="宋体"/>
          <w:bCs/>
          <w:color w:val="auto"/>
          <w:sz w:val="21"/>
          <w:szCs w:val="21"/>
        </w:rPr>
      </w:pPr>
      <w:r>
        <w:rPr>
          <w:rFonts w:hint="eastAsia" w:cs="宋体"/>
          <w:bCs/>
          <w:color w:val="auto"/>
          <w:sz w:val="21"/>
          <w:szCs w:val="21"/>
        </w:rPr>
        <w:t>13.1 分部分项工程验收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13.1.2 监理人不能按时进行验收时，应提前</w:t>
      </w:r>
      <w:r>
        <w:rPr>
          <w:rFonts w:hint="eastAsia" w:cs="宋体"/>
          <w:color w:val="auto"/>
          <w:sz w:val="21"/>
          <w:szCs w:val="21"/>
          <w:u w:val="single"/>
        </w:rPr>
        <w:t>24</w:t>
      </w:r>
      <w:r>
        <w:rPr>
          <w:rFonts w:hint="eastAsia" w:cs="宋体"/>
          <w:color w:val="auto"/>
          <w:sz w:val="21"/>
          <w:szCs w:val="21"/>
        </w:rPr>
        <w:t>小时提交书面延期要求。</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关于延期最长不得超过：</w:t>
      </w:r>
      <w:r>
        <w:rPr>
          <w:rFonts w:hint="eastAsia" w:cs="宋体"/>
          <w:color w:val="auto"/>
          <w:sz w:val="21"/>
          <w:szCs w:val="21"/>
          <w:u w:val="single"/>
        </w:rPr>
        <w:t>48</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bookmarkStart w:id="531" w:name="_Toc296944562"/>
      <w:bookmarkStart w:id="532" w:name="_Toc296891051"/>
      <w:bookmarkStart w:id="533" w:name="_Toc303539173"/>
      <w:bookmarkStart w:id="534" w:name="_Toc292559933"/>
      <w:bookmarkStart w:id="535" w:name="_Toc292559428"/>
      <w:bookmarkStart w:id="536" w:name="_Toc297216224"/>
      <w:bookmarkStart w:id="537" w:name="_Toc296346724"/>
      <w:bookmarkStart w:id="538" w:name="_Toc312678056"/>
      <w:bookmarkStart w:id="539" w:name="_Toc297120523"/>
      <w:bookmarkStart w:id="540" w:name="_Toc296891263"/>
      <w:bookmarkStart w:id="541" w:name="_Toc304295596"/>
      <w:bookmarkStart w:id="542" w:name="_Toc296503223"/>
      <w:bookmarkStart w:id="543" w:name="_Toc297048409"/>
      <w:bookmarkStart w:id="544" w:name="_Toc297123565"/>
      <w:bookmarkStart w:id="545" w:name="_Toc296347222"/>
      <w:bookmarkStart w:id="546" w:name="_Toc300935016"/>
      <w:bookmarkStart w:id="547" w:name="_Toc267251473"/>
      <w:bookmarkStart w:id="548" w:name="_Toc267251471"/>
      <w:bookmarkStart w:id="549" w:name="_Toc267251475"/>
      <w:bookmarkStart w:id="550" w:name="_Toc267251474"/>
      <w:bookmarkStart w:id="551" w:name="_Toc267251476"/>
      <w:bookmarkStart w:id="552" w:name="_Toc267251472"/>
      <w:bookmarkStart w:id="553" w:name="_Toc267251470"/>
      <w:r>
        <w:rPr>
          <w:rFonts w:hint="eastAsia" w:cs="宋体"/>
          <w:bCs/>
          <w:color w:val="auto"/>
          <w:sz w:val="21"/>
          <w:szCs w:val="21"/>
        </w:rPr>
        <w:t>13.2 竣工验收</w:t>
      </w:r>
    </w:p>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Pr>
        <w:adjustRightInd w:val="0"/>
        <w:snapToGrid w:val="0"/>
        <w:spacing w:line="360" w:lineRule="auto"/>
        <w:ind w:firstLine="420" w:firstLineChars="200"/>
        <w:rPr>
          <w:rFonts w:cs="宋体"/>
          <w:color w:val="auto"/>
          <w:sz w:val="21"/>
          <w:szCs w:val="21"/>
        </w:rPr>
      </w:pPr>
      <w:bookmarkStart w:id="554" w:name="_Toc280868704"/>
      <w:bookmarkStart w:id="555" w:name="_Toc280868705"/>
      <w:bookmarkStart w:id="556" w:name="_Toc280868706"/>
      <w:bookmarkStart w:id="557" w:name="_Toc280868707"/>
      <w:bookmarkStart w:id="558" w:name="_Toc280868708"/>
      <w:bookmarkStart w:id="559" w:name="_Toc280868709"/>
      <w:r>
        <w:rPr>
          <w:rFonts w:hint="eastAsia" w:cs="宋体"/>
          <w:color w:val="auto"/>
          <w:sz w:val="21"/>
          <w:szCs w:val="21"/>
        </w:rPr>
        <w:t>13.2.2 竣工验收程序</w:t>
      </w:r>
    </w:p>
    <w:bookmarkEnd w:id="554"/>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关于竣工验收程序的约定：</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发包人不按照本项约定组织竣工验收、颁发工程接收证书的违约金的计算方法：</w:t>
      </w:r>
      <w:r>
        <w:rPr>
          <w:rFonts w:hint="eastAsia" w:cs="宋体"/>
          <w:color w:val="auto"/>
          <w:sz w:val="21"/>
          <w:szCs w:val="21"/>
          <w:u w:val="single"/>
        </w:rPr>
        <w:t>执行通用条款</w:t>
      </w:r>
      <w:r>
        <w:rPr>
          <w:rFonts w:hint="eastAsia" w:cs="宋体"/>
          <w:color w:val="auto"/>
          <w:sz w:val="21"/>
          <w:szCs w:val="21"/>
        </w:rPr>
        <w:t>。</w:t>
      </w:r>
    </w:p>
    <w:bookmarkEnd w:id="55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13.2.5 移交、接收全部与部分工程</w:t>
      </w:r>
    </w:p>
    <w:bookmarkEnd w:id="55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承包人向发包人移交工程的期限：</w:t>
      </w:r>
      <w:r>
        <w:rPr>
          <w:rFonts w:hint="eastAsia" w:cs="宋体"/>
          <w:color w:val="auto"/>
          <w:sz w:val="21"/>
          <w:szCs w:val="21"/>
          <w:u w:val="single"/>
        </w:rPr>
        <w:t>颁发工程接收证书后7天内完成工程的移交</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发包人未按本合同约定接收全部或部分工程的，违约金的计算方法为：</w:t>
      </w:r>
      <w:r>
        <w:rPr>
          <w:rFonts w:hint="eastAsia" w:cs="宋体"/>
          <w:color w:val="auto"/>
          <w:sz w:val="21"/>
          <w:szCs w:val="21"/>
          <w:u w:val="single"/>
        </w:rPr>
        <w:t>发包人自应当接收工程之日起，承担工程照管、成品保护、保管等与工程有关的各项费用</w:t>
      </w:r>
      <w:r>
        <w:rPr>
          <w:rFonts w:hint="eastAsia" w:cs="宋体"/>
          <w:color w:val="auto"/>
          <w:sz w:val="21"/>
          <w:szCs w:val="21"/>
        </w:rPr>
        <w:t>。</w:t>
      </w:r>
    </w:p>
    <w:bookmarkEnd w:id="557"/>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承包人未按时移交工程的，违约金的计算方法为：</w:t>
      </w:r>
      <w:r>
        <w:rPr>
          <w:rFonts w:hint="eastAsia" w:cs="宋体"/>
          <w:color w:val="auto"/>
          <w:sz w:val="21"/>
          <w:szCs w:val="21"/>
          <w:u w:val="single"/>
        </w:rPr>
        <w:t>承包人应承担工程照管、成品保护、保管等与工程有关的各项费用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13.3 工程试车</w:t>
      </w:r>
    </w:p>
    <w:bookmarkEnd w:id="558"/>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13.3.1 试车程序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工程试车内容：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（1）单机无负荷试车费用由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（2）无负荷联动试车费用由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13.3.3 投料试车</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关于投料试车相关事项的约定：</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13.6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13.6.1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承包人完成竣工退场的期限：</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60" w:name="_Toc351203646"/>
      <w:r>
        <w:rPr>
          <w:rFonts w:hint="eastAsia" w:cs="宋体"/>
          <w:color w:val="auto"/>
          <w:sz w:val="21"/>
          <w:szCs w:val="21"/>
        </w:rPr>
        <w:t>14. 竣工结算</w:t>
      </w:r>
      <w:bookmarkEnd w:id="5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14.1 竣工结算申请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承包人提交竣工结算申请单的期限：</w:t>
      </w:r>
      <w:r>
        <w:rPr>
          <w:rFonts w:hint="eastAsia" w:cs="宋体"/>
          <w:color w:val="auto"/>
          <w:sz w:val="21"/>
          <w:szCs w:val="21"/>
          <w:u w:val="single"/>
        </w:rPr>
        <w:t>承包人应在工程竣工验收合格后28天内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竣工结算申请单应包括的内容：</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14.2 竣工结算审核</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发包人审批竣工付款申请单的期限：</w:t>
      </w:r>
      <w:r>
        <w:rPr>
          <w:rFonts w:hint="eastAsia" w:cs="宋体"/>
          <w:color w:val="auto"/>
          <w:sz w:val="21"/>
          <w:szCs w:val="21"/>
          <w:u w:val="single"/>
        </w:rPr>
        <w:t>发包人应在收到监理人提交的经审核的竣工结算申请单后14天内完成审批</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发包人完成竣工付款的期限：</w:t>
      </w:r>
      <w:r>
        <w:rPr>
          <w:rFonts w:hint="eastAsia" w:cs="宋体"/>
          <w:color w:val="auto"/>
          <w:sz w:val="21"/>
          <w:szCs w:val="21"/>
          <w:u w:val="single"/>
        </w:rPr>
        <w:t>发包人应在签发竣工付款证书后的14 天内，完成对承包人的竣工付款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关于竣工付款证书异议部分复核的方式和程序：</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 最终结清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14.4.1 最终结清申请单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承包人提交最终结清申请单的份数：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承包人提交最终结算申请单的期限：</w:t>
      </w:r>
      <w:r>
        <w:rPr>
          <w:rFonts w:hint="eastAsia" w:cs="宋体"/>
          <w:color w:val="auto"/>
          <w:sz w:val="21"/>
          <w:szCs w:val="21"/>
          <w:u w:val="single"/>
        </w:rPr>
        <w:t>缺陷责任期终止证书颁发后7天内</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14.4.2 最终结清证书和支付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（1）发包人完成最终结清申请单的审批并颁发最终结清证书的期限：</w:t>
      </w:r>
      <w:r>
        <w:rPr>
          <w:rFonts w:hint="eastAsia" w:cs="宋体"/>
          <w:color w:val="auto"/>
          <w:sz w:val="21"/>
          <w:szCs w:val="21"/>
          <w:u w:val="single"/>
        </w:rPr>
        <w:t>收到承包人提交的最终结清申请单后14天内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（2）发包人完成支付的期限：</w:t>
      </w:r>
      <w:r>
        <w:rPr>
          <w:rFonts w:hint="eastAsia" w:cs="宋体"/>
          <w:color w:val="auto"/>
          <w:sz w:val="21"/>
          <w:szCs w:val="21"/>
          <w:u w:val="single"/>
        </w:rPr>
        <w:t>颁发最终结清证书后7天内完成支付</w:t>
      </w:r>
      <w:r>
        <w:rPr>
          <w:rFonts w:hint="eastAsia" w:cs="宋体"/>
          <w:color w:val="auto"/>
          <w:sz w:val="21"/>
          <w:szCs w:val="21"/>
        </w:rPr>
        <w:t>。</w:t>
      </w:r>
    </w:p>
    <w:bookmarkEnd w:id="547"/>
    <w:bookmarkEnd w:id="548"/>
    <w:bookmarkEnd w:id="549"/>
    <w:bookmarkEnd w:id="550"/>
    <w:bookmarkEnd w:id="551"/>
    <w:bookmarkEnd w:id="552"/>
    <w:bookmarkEnd w:id="553"/>
    <w:bookmarkEnd w:id="559"/>
    <w:p>
      <w:pPr>
        <w:snapToGrid w:val="0"/>
        <w:spacing w:before="312" w:beforeLines="100" w:after="312" w:afterLines="100" w:line="360" w:lineRule="auto"/>
        <w:outlineLvl w:val="2"/>
        <w:rPr>
          <w:rFonts w:cs="宋体"/>
          <w:color w:val="auto"/>
          <w:sz w:val="21"/>
          <w:szCs w:val="21"/>
        </w:rPr>
      </w:pPr>
      <w:bookmarkStart w:id="561" w:name="_Toc351203647"/>
      <w:bookmarkStart w:id="562" w:name="_Toc267251483"/>
      <w:bookmarkStart w:id="563" w:name="_Toc267251484"/>
      <w:bookmarkStart w:id="564" w:name="_Toc267251482"/>
      <w:bookmarkStart w:id="565" w:name="_Toc267251485"/>
      <w:bookmarkStart w:id="566" w:name="_Toc267251489"/>
      <w:bookmarkStart w:id="567" w:name="_Toc267251490"/>
      <w:bookmarkStart w:id="568" w:name="_Toc267251488"/>
      <w:bookmarkStart w:id="569" w:name="_Toc267251486"/>
      <w:bookmarkStart w:id="570" w:name="_Toc267251491"/>
      <w:bookmarkStart w:id="571" w:name="_Toc267251493"/>
      <w:bookmarkStart w:id="572" w:name="_Toc267251499"/>
      <w:bookmarkStart w:id="573" w:name="_Toc267251498"/>
      <w:bookmarkStart w:id="574" w:name="_Toc267251494"/>
      <w:bookmarkStart w:id="575" w:name="_Toc267251492"/>
      <w:bookmarkStart w:id="576" w:name="_Toc267251503"/>
      <w:bookmarkStart w:id="577" w:name="_Toc267251497"/>
      <w:bookmarkStart w:id="578" w:name="_Toc267251495"/>
      <w:bookmarkStart w:id="579" w:name="_Toc267251502"/>
      <w:bookmarkStart w:id="580" w:name="_Toc267251496"/>
      <w:bookmarkStart w:id="581" w:name="_Toc267251501"/>
      <w:bookmarkStart w:id="582" w:name="_Toc267251504"/>
      <w:bookmarkStart w:id="583" w:name="_Toc267251506"/>
      <w:bookmarkStart w:id="584" w:name="_Toc267251507"/>
      <w:bookmarkStart w:id="585" w:name="_Toc267251508"/>
      <w:bookmarkStart w:id="586" w:name="_Toc267251509"/>
      <w:bookmarkStart w:id="587" w:name="_Toc267251513"/>
      <w:bookmarkStart w:id="588" w:name="_Toc267251511"/>
      <w:bookmarkStart w:id="589" w:name="_Toc267251514"/>
      <w:bookmarkStart w:id="590" w:name="_Toc267251510"/>
      <w:bookmarkStart w:id="591" w:name="_Toc267251515"/>
      <w:r>
        <w:rPr>
          <w:rFonts w:hint="eastAsia" w:cs="宋体"/>
          <w:color w:val="auto"/>
          <w:sz w:val="21"/>
          <w:szCs w:val="21"/>
        </w:rPr>
        <w:t>15. 缺陷责任期与保修</w:t>
      </w:r>
      <w:bookmarkEnd w:id="561"/>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15.2 缺陷责任期</w:t>
      </w:r>
      <w:bookmarkEnd w:id="562"/>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缺陷责任期的具体期限：</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15.3 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关于是否扣留质量保证金的约定：</w:t>
      </w:r>
      <w:r>
        <w:rPr>
          <w:rFonts w:hint="eastAsia" w:cs="宋体"/>
          <w:color w:val="auto"/>
          <w:sz w:val="21"/>
          <w:szCs w:val="21"/>
          <w:u w:val="single"/>
        </w:rPr>
        <w:t xml:space="preserve">            </w:t>
      </w:r>
      <w:r>
        <w:rPr>
          <w:rFonts w:hint="eastAsia" w:cs="宋体"/>
          <w:color w:val="auto"/>
          <w:sz w:val="21"/>
          <w:szCs w:val="21"/>
        </w:rPr>
        <w:t>。在工程项目竣工前，承包人按专用合同条款第3.7款提供履约保证金的，发包人不得同时预留工程质量保证金。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15.3.1 承包人提供质量保证金的方式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 xml:space="preserve">15.3.2 质量保证金的扣留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质量保证金的扣留采取以下第</w:t>
      </w:r>
      <w:r>
        <w:rPr>
          <w:rFonts w:hint="eastAsia" w:cs="宋体"/>
          <w:color w:val="auto"/>
          <w:sz w:val="21"/>
          <w:szCs w:val="21"/>
          <w:u w:val="single"/>
        </w:rPr>
        <w:t xml:space="preserve">   </w:t>
      </w:r>
      <w:r>
        <w:rPr>
          <w:rFonts w:hint="eastAsia" w:cs="宋体"/>
          <w:color w:val="auto"/>
          <w:sz w:val="21"/>
          <w:szCs w:val="21"/>
        </w:rPr>
        <w:t>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（1）在支付工程进度款时逐次扣留，在此情形下，质量保证金的计算基数不包括预付款的支付、扣回以及价格调整的金额；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（2）工程竣工结算时一次性扣留质量保证金；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（3）其他扣留方式：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关于质量保证金的补充约定：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u w:val="single"/>
        </w:rPr>
        <w:t>①在工程项目竣工前，承包人按专用合同条款第3.7款提供履约保证金的，可在工程进入缺陷责任期时按照多退少补原则转为质量保证金；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②……</w:t>
      </w:r>
      <w:r>
        <w:rPr>
          <w:rFonts w:hint="eastAsia" w:cs="宋体"/>
          <w:color w:val="auto"/>
          <w:sz w:val="21"/>
          <w:szCs w:val="21"/>
        </w:rPr>
        <w:t>。</w:t>
      </w:r>
    </w:p>
    <w:bookmarkEnd w:id="563"/>
    <w:bookmarkEnd w:id="56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15.4 保修</w:t>
      </w:r>
    </w:p>
    <w:bookmarkEnd w:id="56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15.4.1 保修责任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工程保修期为：</w:t>
      </w:r>
      <w:r>
        <w:rPr>
          <w:rFonts w:hint="eastAsia" w:cs="宋体"/>
          <w:color w:val="auto"/>
          <w:sz w:val="21"/>
          <w:szCs w:val="21"/>
          <w:u w:val="single"/>
        </w:rPr>
        <w:t>执行《工程质量保修书》规定</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15.4.3 修复通知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承包人收到保修通知并到达工程现场的合理时间：</w:t>
      </w:r>
      <w:r>
        <w:rPr>
          <w:rFonts w:hint="eastAsia" w:cs="宋体"/>
          <w:color w:val="auto"/>
          <w:sz w:val="21"/>
          <w:szCs w:val="21"/>
          <w:u w:val="single"/>
        </w:rPr>
        <w:t xml:space="preserve">                 </w:t>
      </w:r>
      <w:r>
        <w:rPr>
          <w:rFonts w:hint="eastAsia" w:cs="宋体"/>
          <w:color w:val="auto"/>
          <w:sz w:val="21"/>
          <w:szCs w:val="21"/>
        </w:rPr>
        <w:t>。</w:t>
      </w:r>
    </w:p>
    <w:bookmarkEnd w:id="566"/>
    <w:bookmarkEnd w:id="567"/>
    <w:bookmarkEnd w:id="568"/>
    <w:bookmarkEnd w:id="569"/>
    <w:p>
      <w:pPr>
        <w:snapToGrid w:val="0"/>
        <w:spacing w:before="312" w:beforeLines="100" w:after="312" w:afterLines="100" w:line="360" w:lineRule="auto"/>
        <w:outlineLvl w:val="2"/>
        <w:rPr>
          <w:rFonts w:cs="宋体"/>
          <w:color w:val="auto"/>
          <w:sz w:val="21"/>
          <w:szCs w:val="21"/>
        </w:rPr>
      </w:pPr>
      <w:bookmarkStart w:id="592" w:name="_Toc351203648"/>
      <w:bookmarkStart w:id="593" w:name="_Toc280868717"/>
      <w:bookmarkStart w:id="594" w:name="_Toc280868718"/>
      <w:r>
        <w:rPr>
          <w:rFonts w:hint="eastAsia" w:cs="宋体"/>
          <w:color w:val="auto"/>
          <w:sz w:val="21"/>
          <w:szCs w:val="21"/>
        </w:rPr>
        <w:t>16. 违约</w:t>
      </w:r>
      <w:bookmarkEnd w:id="592"/>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16.1 发包人违约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16.1.1 发包人违约的情形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16.1.2 发包人违约的责任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发包人违约责任的承担方式和计算方法：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（1）因发包人原因未能在计划开工日期前7天内下达开工通知的违约责任：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（2）因发包人原因未能按合同约定支付合同价款的违约责任：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（3）发包人违反第10.1款〔变更的范围〕第（2）项约定，自行实施被取消的工作或转由他人实施的违约责任：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（4）发包人提供的材料、工程设备的规格、数量或质量不符合合同约定，或因发包人原因导致交货日期延误或交货地点变更等情况的违约责任：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（5）因发包人违反合同约定造成暂停施工的违约责任：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（6）发包人无正当理由没有在约定期限内发出复工指示，导致承包人无法复工的违约责任：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（7）其他：</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16.1.3 因发包人违约解除合同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承包人按16.1.1项〔发包人违约的情形〕约定暂停施工满</w:t>
      </w:r>
      <w:r>
        <w:rPr>
          <w:rFonts w:hint="eastAsia" w:cs="宋体"/>
          <w:color w:val="auto"/>
          <w:sz w:val="21"/>
          <w:szCs w:val="21"/>
          <w:u w:val="single"/>
        </w:rPr>
        <w:t>28</w:t>
      </w:r>
      <w:r>
        <w:rPr>
          <w:rFonts w:hint="eastAsia" w:cs="宋体"/>
          <w:color w:val="auto"/>
          <w:sz w:val="21"/>
          <w:szCs w:val="21"/>
        </w:rPr>
        <w:t>天后发包人仍不纠正其违约行为并致使合同目的不能实现的，承包人有权解除合同。</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16.2 承包人违约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16.2.1 承包人违约的情形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16.2.2 承包人违约的责任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承包人违约责任的承担方式和计算方法：</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16.2.3 因承包人违约解除合同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关于承包人违约解除合同的特别约定：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发包人继续使用承包人在施工现场的材料、设备、临时工程、承包人文件和由承包人或以其名义编制的其他文件的费用承担方式：</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95" w:name="_Toc351203649"/>
      <w:r>
        <w:rPr>
          <w:rFonts w:hint="eastAsia" w:cs="宋体"/>
          <w:color w:val="auto"/>
          <w:sz w:val="21"/>
          <w:szCs w:val="21"/>
        </w:rPr>
        <w:t>17. 不可抗力</w:t>
      </w:r>
      <w:bookmarkEnd w:id="595"/>
      <w:r>
        <w:rPr>
          <w:rFonts w:hint="eastAsia" w:cs="宋体"/>
          <w:color w:val="auto"/>
          <w:sz w:val="21"/>
          <w:szCs w:val="21"/>
        </w:rPr>
        <w:t xml:space="preserve"> </w:t>
      </w:r>
      <w:bookmarkEnd w:id="593"/>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17.1 不可抗力的确认</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除通用合同条款约定的不可抗力事件之外，视为不可抗力的其他情形：</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17.4 因不可抗力解除合同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合同解除后，发包人应在商定或确定发包人应支付款项后</w:t>
      </w:r>
      <w:r>
        <w:rPr>
          <w:rFonts w:hint="eastAsia" w:cs="宋体"/>
          <w:color w:val="auto"/>
          <w:sz w:val="21"/>
          <w:szCs w:val="21"/>
          <w:u w:val="single"/>
        </w:rPr>
        <w:t>28</w:t>
      </w:r>
      <w:r>
        <w:rPr>
          <w:rFonts w:hint="eastAsia" w:cs="宋体"/>
          <w:color w:val="auto"/>
          <w:sz w:val="21"/>
          <w:szCs w:val="21"/>
        </w:rPr>
        <w:t>天内完成款项的支付。</w:t>
      </w:r>
    </w:p>
    <w:p>
      <w:pPr>
        <w:snapToGrid w:val="0"/>
        <w:spacing w:before="312" w:beforeLines="100" w:after="312" w:afterLines="100" w:line="360" w:lineRule="auto"/>
        <w:outlineLvl w:val="2"/>
        <w:rPr>
          <w:rFonts w:cs="宋体"/>
          <w:color w:val="auto"/>
          <w:sz w:val="21"/>
          <w:szCs w:val="21"/>
        </w:rPr>
      </w:pPr>
      <w:bookmarkStart w:id="596" w:name="_Toc351203650"/>
      <w:r>
        <w:rPr>
          <w:rFonts w:hint="eastAsia" w:cs="宋体"/>
          <w:color w:val="auto"/>
          <w:sz w:val="21"/>
          <w:szCs w:val="21"/>
        </w:rPr>
        <w:t>18. 保险</w:t>
      </w:r>
      <w:bookmarkEnd w:id="596"/>
    </w:p>
    <w:bookmarkEnd w:id="59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18.1 工程保险</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关于工程保险的特别约定：</w:t>
      </w:r>
      <w:r>
        <w:rPr>
          <w:rFonts w:hint="eastAsia" w:cs="宋体"/>
          <w:b/>
          <w:color w:val="auto"/>
          <w:sz w:val="21"/>
          <w:szCs w:val="21"/>
          <w:u w:val="single"/>
        </w:rPr>
        <w:t xml:space="preserve">        </w:t>
      </w:r>
      <w:r>
        <w:rPr>
          <w:rFonts w:hint="eastAsia" w:cs="宋体"/>
          <w:b/>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18.3 其他保险</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关于其他保险的约定：</w:t>
      </w:r>
      <w:r>
        <w:rPr>
          <w:rFonts w:hint="eastAsia" w:cs="宋体"/>
          <w:color w:val="auto"/>
          <w:sz w:val="21"/>
          <w:szCs w:val="21"/>
          <w:u w:val="single"/>
        </w:rPr>
        <w:t>承包人须为其施工现场的全部人员办理意外伤害保险并支付保险费，包括其员工及为履行合同聘请的第三方的人员</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承包人是否应为其施工设备等办理财产保险：</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18.7 通知义务</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关于变更保险合同时的通知义务的约定：</w:t>
      </w:r>
      <w:r>
        <w:rPr>
          <w:rFonts w:hint="eastAsia" w:cs="宋体"/>
          <w:color w:val="auto"/>
          <w:sz w:val="21"/>
          <w:szCs w:val="21"/>
          <w:u w:val="single"/>
        </w:rPr>
        <w:t>执行通用条款</w:t>
      </w:r>
      <w:r>
        <w:rPr>
          <w:rFonts w:hint="eastAsia" w:cs="宋体"/>
          <w:color w:val="auto"/>
          <w:sz w:val="21"/>
          <w:szCs w:val="21"/>
        </w:rPr>
        <w:t>。</w:t>
      </w:r>
    </w:p>
    <w:bookmarkEnd w:id="570"/>
    <w:bookmarkEnd w:id="571"/>
    <w:bookmarkEnd w:id="572"/>
    <w:bookmarkEnd w:id="573"/>
    <w:bookmarkEnd w:id="574"/>
    <w:bookmarkEnd w:id="575"/>
    <w:bookmarkEnd w:id="576"/>
    <w:bookmarkEnd w:id="577"/>
    <w:bookmarkEnd w:id="578"/>
    <w:bookmarkEnd w:id="579"/>
    <w:bookmarkEnd w:id="580"/>
    <w:bookmarkEnd w:id="581"/>
    <w:p>
      <w:pPr>
        <w:snapToGrid w:val="0"/>
        <w:spacing w:before="312" w:beforeLines="100" w:after="312" w:afterLines="100" w:line="360" w:lineRule="auto"/>
        <w:outlineLvl w:val="2"/>
        <w:rPr>
          <w:rFonts w:cs="宋体"/>
          <w:color w:val="auto"/>
          <w:sz w:val="21"/>
          <w:szCs w:val="21"/>
        </w:rPr>
      </w:pPr>
      <w:bookmarkStart w:id="597" w:name="_Toc351203651"/>
      <w:r>
        <w:rPr>
          <w:rFonts w:hint="eastAsia" w:cs="宋体"/>
          <w:color w:val="auto"/>
          <w:sz w:val="21"/>
          <w:szCs w:val="21"/>
        </w:rPr>
        <w:t>20. 争议解决</w:t>
      </w:r>
      <w:bookmarkEnd w:id="597"/>
    </w:p>
    <w:bookmarkEnd w:id="582"/>
    <w:bookmarkEnd w:id="583"/>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20.3 争</w:t>
      </w:r>
      <w:bookmarkEnd w:id="584"/>
      <w:r>
        <w:rPr>
          <w:rFonts w:hint="eastAsia" w:cs="宋体"/>
          <w:bCs/>
          <w:color w:val="auto"/>
          <w:sz w:val="21"/>
          <w:szCs w:val="21"/>
        </w:rPr>
        <w:t>议评审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合同当事人是否同意将工程争议提交争议评审小组决定：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20.3.1 争议评审小组的确定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争议评审小组成员的确定：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选定争议评审员的期限：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争议评审小组成员的报酬承担方式：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其他事项的约定：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20.3.2 争议评审小组的决定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合同当事人关于本项的约定：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20.4 仲裁或诉讼</w:t>
      </w:r>
      <w:bookmarkEnd w:id="585"/>
    </w:p>
    <w:bookmarkEnd w:id="586"/>
    <w:bookmarkEnd w:id="587"/>
    <w:bookmarkEnd w:id="588"/>
    <w:bookmarkEnd w:id="589"/>
    <w:bookmarkEnd w:id="590"/>
    <w:bookmarkEnd w:id="591"/>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因合同及合同有关事项发生的争议，按下列</w:t>
      </w:r>
      <w:r>
        <w:rPr>
          <w:rFonts w:hint="eastAsia" w:cs="宋体"/>
          <w:b/>
          <w:bCs/>
          <w:color w:val="auto"/>
          <w:sz w:val="21"/>
          <w:szCs w:val="21"/>
        </w:rPr>
        <w:t>第</w:t>
      </w:r>
      <w:r>
        <w:rPr>
          <w:rFonts w:hint="eastAsia" w:cs="宋体"/>
          <w:b/>
          <w:bCs/>
          <w:color w:val="auto"/>
          <w:sz w:val="21"/>
          <w:szCs w:val="21"/>
          <w:u w:val="single"/>
        </w:rPr>
        <w:t xml:space="preserve"> 2 </w:t>
      </w:r>
      <w:r>
        <w:rPr>
          <w:rFonts w:hint="eastAsia" w:cs="宋体"/>
          <w:b/>
          <w:bCs/>
          <w:color w:val="auto"/>
          <w:sz w:val="21"/>
          <w:szCs w:val="21"/>
        </w:rPr>
        <w:t>种</w:t>
      </w:r>
      <w:r>
        <w:rPr>
          <w:rFonts w:hint="eastAsia" w:cs="宋体"/>
          <w:color w:val="auto"/>
          <w:sz w:val="21"/>
          <w:szCs w:val="21"/>
        </w:rPr>
        <w:t>方式解决：</w:t>
      </w:r>
    </w:p>
    <w:p>
      <w:pPr>
        <w:numPr>
          <w:ilvl w:val="0"/>
          <w:numId w:val="3"/>
        </w:numPr>
        <w:adjustRightInd w:val="0"/>
        <w:snapToGrid w:val="0"/>
        <w:spacing w:line="360" w:lineRule="auto"/>
        <w:ind w:firstLine="420" w:firstLineChars="200"/>
        <w:rPr>
          <w:rFonts w:cs="宋体"/>
          <w:color w:val="auto"/>
          <w:sz w:val="21"/>
          <w:szCs w:val="21"/>
        </w:rPr>
      </w:pPr>
      <w:r>
        <w:rPr>
          <w:rFonts w:hint="eastAsia" w:cs="宋体"/>
          <w:color w:val="auto"/>
          <w:sz w:val="21"/>
          <w:szCs w:val="21"/>
        </w:rPr>
        <w:t>向</w:t>
      </w:r>
      <w:r>
        <w:rPr>
          <w:rFonts w:hint="eastAsia" w:cs="宋体"/>
          <w:color w:val="auto"/>
          <w:sz w:val="21"/>
          <w:szCs w:val="21"/>
          <w:u w:val="single"/>
        </w:rPr>
        <w:t xml:space="preserve"> 合肥 </w:t>
      </w:r>
      <w:r>
        <w:rPr>
          <w:rFonts w:hint="eastAsia" w:cs="宋体"/>
          <w:color w:val="auto"/>
          <w:sz w:val="21"/>
          <w:szCs w:val="21"/>
        </w:rPr>
        <w:t>仲裁委员会申请仲裁；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（2）向</w:t>
      </w:r>
      <w:r>
        <w:rPr>
          <w:rFonts w:hint="eastAsia" w:cs="宋体"/>
          <w:color w:val="auto"/>
          <w:sz w:val="21"/>
          <w:szCs w:val="21"/>
          <w:u w:val="single"/>
        </w:rPr>
        <w:t>工程所在地</w:t>
      </w:r>
      <w:r>
        <w:rPr>
          <w:rFonts w:hint="eastAsia" w:cs="宋体"/>
          <w:color w:val="auto"/>
          <w:sz w:val="21"/>
          <w:szCs w:val="21"/>
        </w:rPr>
        <w:t>人民法院起诉。</w:t>
      </w:r>
    </w:p>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t xml:space="preserve">21. 补充条款 </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cs="宋体"/>
          <w:b/>
          <w:color w:val="auto"/>
          <w:sz w:val="21"/>
          <w:szCs w:val="21"/>
        </w:rPr>
      </w:pPr>
      <w:r>
        <w:rPr>
          <w:rFonts w:hint="eastAsia" w:cs="宋体"/>
          <w:color w:val="auto"/>
          <w:sz w:val="21"/>
          <w:szCs w:val="21"/>
          <w:u w:val="single"/>
        </w:rPr>
        <w:t xml:space="preserve">                                     </w:t>
      </w:r>
    </w:p>
    <w:p>
      <w:pPr>
        <w:pStyle w:val="2"/>
        <w:rPr>
          <w:color w:val="auto"/>
        </w:rPr>
      </w:pPr>
    </w:p>
    <w:p>
      <w:pPr>
        <w:snapToGrid w:val="0"/>
        <w:spacing w:line="360" w:lineRule="auto"/>
        <w:rPr>
          <w:rFonts w:cs="宋体"/>
          <w:color w:val="auto"/>
          <w:sz w:val="21"/>
          <w:szCs w:val="21"/>
        </w:rPr>
      </w:pPr>
      <w:r>
        <w:rPr>
          <w:rFonts w:hint="eastAsia" w:cs="宋体"/>
          <w:color w:val="auto"/>
          <w:sz w:val="21"/>
          <w:szCs w:val="21"/>
        </w:rPr>
        <w:t>发包人：  （公章）                           承包人：  （公章）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                                  （签字）</w:t>
      </w:r>
    </w:p>
    <w:p>
      <w:pPr>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r>
        <w:rPr>
          <w:rFonts w:hint="eastAsia" w:cs="宋体"/>
          <w:color w:val="auto"/>
          <w:sz w:val="21"/>
          <w:szCs w:val="21"/>
        </w:rPr>
        <w:t xml:space="preserve">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bookmarkEnd w:id="64"/>
    <w:p>
      <w:pPr>
        <w:snapToGrid w:val="0"/>
        <w:spacing w:line="360" w:lineRule="auto"/>
        <w:rPr>
          <w:rFonts w:cs="宋体"/>
          <w:b/>
          <w:color w:val="auto"/>
          <w:sz w:val="21"/>
          <w:szCs w:val="21"/>
        </w:rPr>
      </w:pPr>
      <w:r>
        <w:rPr>
          <w:rFonts w:hint="eastAsia" w:cs="宋体"/>
          <w:b/>
          <w:color w:val="auto"/>
          <w:sz w:val="21"/>
          <w:szCs w:val="21"/>
        </w:rPr>
        <w:t>附件</w:t>
      </w:r>
    </w:p>
    <w:p>
      <w:pPr>
        <w:snapToGrid w:val="0"/>
        <w:spacing w:line="360" w:lineRule="auto"/>
        <w:rPr>
          <w:rFonts w:cs="宋体"/>
          <w:color w:val="auto"/>
          <w:sz w:val="21"/>
          <w:szCs w:val="21"/>
        </w:rPr>
      </w:pPr>
      <w:r>
        <w:rPr>
          <w:rFonts w:hint="eastAsia" w:cs="宋体"/>
          <w:color w:val="auto"/>
          <w:sz w:val="21"/>
          <w:szCs w:val="21"/>
        </w:rPr>
        <w:t>协议书附件：</w:t>
      </w:r>
    </w:p>
    <w:p>
      <w:pPr>
        <w:snapToGrid w:val="0"/>
        <w:spacing w:line="360" w:lineRule="auto"/>
        <w:rPr>
          <w:rFonts w:cs="宋体"/>
          <w:color w:val="auto"/>
          <w:sz w:val="21"/>
          <w:szCs w:val="21"/>
        </w:rPr>
      </w:pPr>
      <w:bookmarkStart w:id="598" w:name="_Toc128950221"/>
      <w:r>
        <w:rPr>
          <w:rFonts w:hint="eastAsia" w:cs="宋体"/>
          <w:color w:val="auto"/>
          <w:sz w:val="21"/>
          <w:szCs w:val="21"/>
        </w:rPr>
        <w:t>附件1：承包人承揽工程项目一览表</w:t>
      </w:r>
      <w:bookmarkEnd w:id="598"/>
    </w:p>
    <w:p>
      <w:pPr>
        <w:snapToGrid w:val="0"/>
        <w:spacing w:line="360" w:lineRule="auto"/>
        <w:rPr>
          <w:rFonts w:cs="宋体"/>
          <w:color w:val="auto"/>
          <w:sz w:val="21"/>
          <w:szCs w:val="21"/>
        </w:rPr>
      </w:pPr>
    </w:p>
    <w:p>
      <w:pPr>
        <w:snapToGrid w:val="0"/>
        <w:spacing w:line="360" w:lineRule="auto"/>
        <w:rPr>
          <w:rFonts w:cs="宋体"/>
          <w:color w:val="auto"/>
          <w:sz w:val="21"/>
          <w:szCs w:val="21"/>
        </w:rPr>
      </w:pPr>
      <w:r>
        <w:rPr>
          <w:rFonts w:hint="eastAsia" w:cs="宋体"/>
          <w:color w:val="auto"/>
          <w:sz w:val="21"/>
          <w:szCs w:val="21"/>
        </w:rPr>
        <w:t>专用合同条款附件：</w:t>
      </w:r>
    </w:p>
    <w:p>
      <w:pPr>
        <w:snapToGrid w:val="0"/>
        <w:spacing w:line="360" w:lineRule="auto"/>
        <w:rPr>
          <w:rFonts w:cs="宋体"/>
          <w:color w:val="auto"/>
          <w:sz w:val="21"/>
          <w:szCs w:val="21"/>
        </w:rPr>
      </w:pPr>
      <w:bookmarkStart w:id="599" w:name="_Toc128950222"/>
      <w:r>
        <w:rPr>
          <w:rFonts w:hint="eastAsia" w:cs="宋体"/>
          <w:color w:val="auto"/>
          <w:sz w:val="21"/>
          <w:szCs w:val="21"/>
        </w:rPr>
        <w:t>附件2：发包人供应材料设备一览表</w:t>
      </w:r>
      <w:bookmarkEnd w:id="599"/>
    </w:p>
    <w:p>
      <w:pPr>
        <w:snapToGrid w:val="0"/>
        <w:spacing w:line="360" w:lineRule="auto"/>
        <w:rPr>
          <w:rFonts w:cs="宋体"/>
          <w:color w:val="auto"/>
          <w:sz w:val="21"/>
          <w:szCs w:val="21"/>
        </w:rPr>
      </w:pPr>
      <w:bookmarkStart w:id="600" w:name="_Toc128950223"/>
      <w:r>
        <w:rPr>
          <w:rFonts w:hint="eastAsia" w:cs="宋体"/>
          <w:color w:val="auto"/>
          <w:sz w:val="21"/>
          <w:szCs w:val="21"/>
        </w:rPr>
        <w:t>附件3：工程质量保修书</w:t>
      </w:r>
      <w:bookmarkEnd w:id="600"/>
    </w:p>
    <w:p>
      <w:pPr>
        <w:snapToGrid w:val="0"/>
        <w:spacing w:line="360" w:lineRule="auto"/>
        <w:rPr>
          <w:rFonts w:cs="宋体"/>
          <w:color w:val="auto"/>
          <w:sz w:val="21"/>
          <w:szCs w:val="21"/>
        </w:rPr>
      </w:pPr>
      <w:bookmarkStart w:id="601" w:name="_Toc128950224"/>
      <w:r>
        <w:rPr>
          <w:rFonts w:hint="eastAsia" w:cs="宋体"/>
          <w:color w:val="auto"/>
          <w:sz w:val="21"/>
          <w:szCs w:val="21"/>
        </w:rPr>
        <w:t>附件4：主要建设工程文件目录</w:t>
      </w:r>
      <w:bookmarkEnd w:id="601"/>
    </w:p>
    <w:p>
      <w:pPr>
        <w:snapToGrid w:val="0"/>
        <w:spacing w:line="360" w:lineRule="auto"/>
        <w:rPr>
          <w:rFonts w:cs="宋体"/>
          <w:color w:val="auto"/>
          <w:sz w:val="21"/>
          <w:szCs w:val="21"/>
        </w:rPr>
      </w:pPr>
      <w:bookmarkStart w:id="602" w:name="_Toc128950225"/>
      <w:r>
        <w:rPr>
          <w:rFonts w:hint="eastAsia" w:cs="宋体"/>
          <w:color w:val="auto"/>
          <w:sz w:val="21"/>
          <w:szCs w:val="21"/>
        </w:rPr>
        <w:t>附件5：承包人用于本工程施工的机械设备表</w:t>
      </w:r>
      <w:bookmarkEnd w:id="602"/>
    </w:p>
    <w:p>
      <w:pPr>
        <w:snapToGrid w:val="0"/>
        <w:spacing w:line="360" w:lineRule="auto"/>
        <w:rPr>
          <w:rFonts w:cs="宋体"/>
          <w:color w:val="auto"/>
          <w:sz w:val="21"/>
          <w:szCs w:val="21"/>
        </w:rPr>
      </w:pPr>
      <w:bookmarkStart w:id="603" w:name="_Toc128950226"/>
      <w:r>
        <w:rPr>
          <w:rFonts w:hint="eastAsia" w:cs="宋体"/>
          <w:color w:val="auto"/>
          <w:sz w:val="21"/>
          <w:szCs w:val="21"/>
        </w:rPr>
        <w:t>附件6：承包人主要施工管理人员表</w:t>
      </w:r>
      <w:bookmarkEnd w:id="603"/>
    </w:p>
    <w:p>
      <w:pPr>
        <w:snapToGrid w:val="0"/>
        <w:spacing w:line="360" w:lineRule="auto"/>
        <w:rPr>
          <w:rFonts w:cs="宋体"/>
          <w:color w:val="auto"/>
          <w:sz w:val="21"/>
          <w:szCs w:val="21"/>
        </w:rPr>
      </w:pPr>
      <w:bookmarkStart w:id="604" w:name="_Toc128950227"/>
      <w:r>
        <w:rPr>
          <w:rFonts w:hint="eastAsia" w:cs="宋体"/>
          <w:color w:val="auto"/>
          <w:sz w:val="21"/>
          <w:szCs w:val="21"/>
        </w:rPr>
        <w:t>附件7：分包人主要施工管理人员表</w:t>
      </w:r>
      <w:bookmarkEnd w:id="604"/>
    </w:p>
    <w:p>
      <w:pPr>
        <w:snapToGrid w:val="0"/>
        <w:spacing w:line="360" w:lineRule="auto"/>
        <w:rPr>
          <w:rFonts w:cs="宋体"/>
          <w:color w:val="auto"/>
          <w:sz w:val="21"/>
          <w:szCs w:val="21"/>
        </w:rPr>
      </w:pPr>
      <w:bookmarkStart w:id="605" w:name="_Toc128950228"/>
      <w:r>
        <w:rPr>
          <w:rFonts w:hint="eastAsia" w:cs="宋体"/>
          <w:color w:val="auto"/>
          <w:sz w:val="21"/>
          <w:szCs w:val="21"/>
        </w:rPr>
        <w:t>附件8：廉政协议</w:t>
      </w:r>
      <w:bookmarkEnd w:id="605"/>
    </w:p>
    <w:p>
      <w:pPr>
        <w:snapToGrid w:val="0"/>
        <w:spacing w:line="360" w:lineRule="auto"/>
        <w:rPr>
          <w:rFonts w:cs="宋体"/>
          <w:color w:val="auto"/>
          <w:sz w:val="21"/>
          <w:szCs w:val="21"/>
        </w:rPr>
      </w:pPr>
      <w:bookmarkStart w:id="606" w:name="_Toc128950229"/>
      <w:r>
        <w:rPr>
          <w:rFonts w:hint="eastAsia" w:cs="宋体"/>
          <w:color w:val="auto"/>
          <w:sz w:val="21"/>
          <w:szCs w:val="21"/>
        </w:rPr>
        <w:t>附件9：履约保证金格式</w:t>
      </w:r>
      <w:bookmarkEnd w:id="606"/>
    </w:p>
    <w:p>
      <w:pPr>
        <w:snapToGrid w:val="0"/>
        <w:spacing w:line="360" w:lineRule="auto"/>
        <w:rPr>
          <w:rFonts w:cs="宋体"/>
          <w:color w:val="auto"/>
          <w:sz w:val="21"/>
          <w:szCs w:val="21"/>
        </w:rPr>
      </w:pPr>
      <w:bookmarkStart w:id="607" w:name="_Toc128950230"/>
      <w:r>
        <w:rPr>
          <w:rFonts w:hint="eastAsia" w:cs="宋体"/>
          <w:color w:val="auto"/>
          <w:sz w:val="21"/>
          <w:szCs w:val="21"/>
        </w:rPr>
        <w:t>附件10：预付款担保格式</w:t>
      </w:r>
      <w:bookmarkEnd w:id="607"/>
    </w:p>
    <w:p>
      <w:pPr>
        <w:snapToGrid w:val="0"/>
        <w:spacing w:line="360" w:lineRule="auto"/>
        <w:rPr>
          <w:rFonts w:cs="宋体"/>
          <w:color w:val="auto"/>
          <w:sz w:val="21"/>
          <w:szCs w:val="21"/>
        </w:rPr>
      </w:pPr>
      <w:bookmarkStart w:id="608" w:name="_Toc128950231"/>
      <w:r>
        <w:rPr>
          <w:rFonts w:hint="eastAsia" w:cs="宋体"/>
          <w:color w:val="auto"/>
          <w:sz w:val="21"/>
          <w:szCs w:val="21"/>
        </w:rPr>
        <w:t>附件11：支付担保格式</w:t>
      </w:r>
      <w:bookmarkEnd w:id="608"/>
    </w:p>
    <w:p>
      <w:pPr>
        <w:snapToGrid w:val="0"/>
        <w:spacing w:line="360" w:lineRule="auto"/>
        <w:rPr>
          <w:rFonts w:cs="宋体"/>
          <w:color w:val="auto"/>
          <w:sz w:val="21"/>
          <w:szCs w:val="21"/>
        </w:rPr>
      </w:pPr>
      <w:bookmarkStart w:id="609" w:name="_Toc128950232"/>
      <w:r>
        <w:rPr>
          <w:rFonts w:hint="eastAsia" w:cs="宋体"/>
          <w:color w:val="auto"/>
          <w:sz w:val="21"/>
          <w:szCs w:val="21"/>
        </w:rPr>
        <w:t>附件12：暂估价一览表</w:t>
      </w:r>
      <w:bookmarkEnd w:id="609"/>
    </w:p>
    <w:p>
      <w:pPr>
        <w:snapToGrid w:val="0"/>
        <w:spacing w:line="360" w:lineRule="auto"/>
        <w:rPr>
          <w:rFonts w:cs="宋体"/>
          <w:color w:val="auto"/>
          <w:sz w:val="21"/>
          <w:szCs w:val="21"/>
        </w:rPr>
      </w:pPr>
      <w:bookmarkStart w:id="610" w:name="_Toc128950233"/>
      <w:r>
        <w:rPr>
          <w:rFonts w:hint="eastAsia" w:cs="宋体"/>
          <w:color w:val="auto"/>
          <w:sz w:val="21"/>
          <w:szCs w:val="21"/>
        </w:rPr>
        <w:t>附件13：安全生产合同</w:t>
      </w:r>
      <w:bookmarkEnd w:id="610"/>
    </w:p>
    <w:p>
      <w:pPr>
        <w:snapToGrid w:val="0"/>
        <w:spacing w:line="360" w:lineRule="auto"/>
        <w:rPr>
          <w:rFonts w:cs="宋体"/>
          <w:color w:val="auto"/>
          <w:sz w:val="21"/>
          <w:szCs w:val="21"/>
        </w:rPr>
      </w:pPr>
      <w:bookmarkStart w:id="611" w:name="_Toc128950234"/>
      <w:r>
        <w:rPr>
          <w:rFonts w:hint="eastAsia" w:cs="宋体"/>
          <w:color w:val="auto"/>
          <w:sz w:val="21"/>
          <w:szCs w:val="21"/>
        </w:rPr>
        <w:t>附件14：项目经理质量终身责任制承诺</w:t>
      </w:r>
      <w:bookmarkEnd w:id="611"/>
    </w:p>
    <w:p>
      <w:pPr>
        <w:snapToGrid w:val="0"/>
        <w:spacing w:before="312" w:beforeLines="100" w:after="312" w:afterLines="100" w:line="360" w:lineRule="auto"/>
        <w:outlineLvl w:val="2"/>
        <w:rPr>
          <w:rFonts w:ascii="Times New Roman" w:eastAsia="黑体"/>
          <w:color w:val="auto"/>
          <w:szCs w:val="24"/>
        </w:rPr>
      </w:pPr>
      <w:r>
        <w:rPr>
          <w:rFonts w:hint="eastAsia" w:cs="宋体"/>
          <w:bCs/>
          <w:color w:val="auto"/>
          <w:sz w:val="21"/>
          <w:szCs w:val="21"/>
        </w:rPr>
        <w:br w:type="page"/>
      </w:r>
      <w:bookmarkStart w:id="612" w:name="_Toc128950235"/>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：承包人承揽工程项目一览表</w:t>
      </w:r>
      <w:bookmarkEnd w:id="612"/>
    </w:p>
    <w:p>
      <w:pPr>
        <w:spacing w:line="360" w:lineRule="auto"/>
        <w:jc w:val="center"/>
        <w:rPr>
          <w:rFonts w:cs="宋体"/>
          <w:color w:val="auto"/>
          <w:sz w:val="22"/>
          <w:szCs w:val="21"/>
        </w:rPr>
      </w:pPr>
      <w:r>
        <w:rPr>
          <w:rFonts w:hint="eastAsia" w:cs="宋体"/>
          <w:color w:val="auto"/>
          <w:sz w:val="22"/>
          <w:szCs w:val="21"/>
        </w:rPr>
        <w:t>承包人承揽工程项目一览表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单位工程名称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建设规模</w:t>
            </w:r>
          </w:p>
        </w:tc>
        <w:tc>
          <w:tcPr>
            <w:tcW w:w="778"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建筑面积（平方米）</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结构形式</w:t>
            </w:r>
          </w:p>
        </w:tc>
        <w:tc>
          <w:tcPr>
            <w:tcW w:w="240"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层数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生产能力</w:t>
            </w:r>
          </w:p>
        </w:tc>
        <w:tc>
          <w:tcPr>
            <w:tcW w:w="587"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设备安装内容</w:t>
            </w:r>
          </w:p>
        </w:tc>
        <w:tc>
          <w:tcPr>
            <w:tcW w:w="744"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合同价格（元）</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开工日期</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778"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240"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587" w:type="pct"/>
            <w:tcBorders>
              <w:top w:val="double" w:color="auto" w:sz="6" w:space="0"/>
            </w:tcBorders>
            <w:vAlign w:val="center"/>
          </w:tcPr>
          <w:p>
            <w:pPr>
              <w:keepNext/>
              <w:snapToGrid w:val="0"/>
              <w:spacing w:line="360" w:lineRule="auto"/>
              <w:jc w:val="center"/>
              <w:rPr>
                <w:rFonts w:cs="宋体"/>
                <w:color w:val="auto"/>
                <w:sz w:val="22"/>
                <w:szCs w:val="21"/>
              </w:rPr>
            </w:pPr>
          </w:p>
        </w:tc>
        <w:tc>
          <w:tcPr>
            <w:tcW w:w="744"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78"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240"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587"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44"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13" w:name="_Toc128950236"/>
      <w:r>
        <w:rPr>
          <w:rFonts w:hint="eastAsia" w:ascii="Times New Roman" w:eastAsia="黑体"/>
          <w:color w:val="auto"/>
          <w:szCs w:val="24"/>
        </w:rPr>
        <w:t>附</w:t>
      </w:r>
      <w:bookmarkStart w:id="614" w:name="_Toc296347224"/>
      <w:bookmarkStart w:id="615" w:name="_Toc296891053"/>
      <w:bookmarkStart w:id="616" w:name="_Toc296891265"/>
      <w:bookmarkStart w:id="617" w:name="_Toc267261692"/>
      <w:bookmarkStart w:id="618" w:name="_Toc296503225"/>
      <w:bookmarkStart w:id="619" w:name="_Toc296346726"/>
      <w:bookmarkStart w:id="620" w:name="_Toc296944564"/>
      <w:r>
        <w:rPr>
          <w:rFonts w:hint="eastAsia" w:ascii="Times New Roman" w:eastAsia="黑体"/>
          <w:color w:val="auto"/>
          <w:szCs w:val="24"/>
        </w:rPr>
        <w:t>件</w:t>
      </w:r>
      <w:r>
        <w:rPr>
          <w:rFonts w:ascii="Times New Roman" w:eastAsia="黑体"/>
          <w:color w:val="auto"/>
          <w:szCs w:val="24"/>
        </w:rPr>
        <w:t>2</w:t>
      </w:r>
      <w:r>
        <w:rPr>
          <w:rFonts w:hint="eastAsia" w:ascii="Times New Roman" w:eastAsia="黑体"/>
          <w:color w:val="auto"/>
          <w:szCs w:val="24"/>
        </w:rPr>
        <w:t>：发包人供应材料设备一览表</w:t>
      </w:r>
      <w:bookmarkEnd w:id="613"/>
    </w:p>
    <w:bookmarkEnd w:id="614"/>
    <w:bookmarkEnd w:id="615"/>
    <w:bookmarkEnd w:id="616"/>
    <w:bookmarkEnd w:id="617"/>
    <w:bookmarkEnd w:id="618"/>
    <w:bookmarkEnd w:id="619"/>
    <w:bookmarkEnd w:id="620"/>
    <w:p>
      <w:pPr>
        <w:spacing w:line="360" w:lineRule="auto"/>
        <w:jc w:val="center"/>
        <w:rPr>
          <w:rFonts w:cs="宋体"/>
          <w:color w:val="auto"/>
          <w:sz w:val="22"/>
          <w:szCs w:val="21"/>
        </w:rPr>
      </w:pPr>
      <w:r>
        <w:rPr>
          <w:rFonts w:hint="eastAsia" w:cs="宋体"/>
          <w:color w:val="auto"/>
          <w:sz w:val="22"/>
          <w:szCs w:val="21"/>
        </w:rPr>
        <w:t>发包人供应材料设备一览表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序号</w:t>
            </w:r>
          </w:p>
        </w:tc>
        <w:tc>
          <w:tcPr>
            <w:tcW w:w="941"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材料、设备品种</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规格型号</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数量</w:t>
            </w:r>
          </w:p>
        </w:tc>
        <w:tc>
          <w:tcPr>
            <w:tcW w:w="68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单价（元）</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质量等级</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供应时间</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送达地点</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941"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68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pPr>
              <w:snapToGrid w:val="0"/>
              <w:spacing w:line="360" w:lineRule="auto"/>
              <w:jc w:val="center"/>
              <w:rPr>
                <w:rFonts w:cs="宋体"/>
                <w:color w:val="auto"/>
                <w:sz w:val="22"/>
                <w:szCs w:val="21"/>
              </w:rPr>
            </w:pPr>
          </w:p>
        </w:tc>
        <w:tc>
          <w:tcPr>
            <w:tcW w:w="941"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68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941"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68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21" w:name="_Toc128950237"/>
      <w:r>
        <w:rPr>
          <w:rFonts w:hint="eastAsia" w:ascii="Times New Roman" w:eastAsia="黑体"/>
          <w:color w:val="auto"/>
          <w:szCs w:val="24"/>
        </w:rPr>
        <w:t>附件3：工程质量保修书（房屋建筑工程）</w:t>
      </w:r>
      <w:bookmarkEnd w:id="621"/>
    </w:p>
    <w:p>
      <w:pPr>
        <w:adjustRightInd w:val="0"/>
        <w:snapToGrid w:val="0"/>
        <w:spacing w:before="156" w:beforeLines="50" w:after="156" w:afterLines="50" w:line="360" w:lineRule="auto"/>
        <w:jc w:val="center"/>
        <w:rPr>
          <w:rFonts w:cs="宋体"/>
          <w:b/>
          <w:color w:val="auto"/>
        </w:rPr>
      </w:pPr>
      <w:r>
        <w:rPr>
          <w:rFonts w:hint="eastAsia" w:cs="宋体"/>
          <w:b/>
          <w:color w:val="auto"/>
        </w:rPr>
        <w:t>工程质量保修书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发包人和承包人根据《中华人民共和国建筑法》和《建设工程质量管理条例》，经协商一致就_______________（工程全称）签订工程质量保修书。</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一、工程质量保修范围和内容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承包人在质量保修期内，按照有关法律规定和合同约定，承担工程质量保修责任。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13" w:firstLineChars="196"/>
        <w:rPr>
          <w:rFonts w:cs="宋体"/>
          <w:b/>
          <w:color w:val="auto"/>
          <w:sz w:val="21"/>
          <w:szCs w:val="21"/>
        </w:rPr>
      </w:pPr>
      <w:r>
        <w:rPr>
          <w:rFonts w:hint="eastAsia" w:cs="宋体"/>
          <w:b/>
          <w:color w:val="auto"/>
          <w:sz w:val="21"/>
          <w:szCs w:val="21"/>
        </w:rPr>
        <w:t>二、质量保修期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根据《建设工程质量管理条例》及有关规定，工程的质量保修期如下：</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 地基基础工程和主体结构工程为设计文件规定的工程合理使用年限；</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 屋面防水工程、有防水要求的卫生间、房间和外墙面的防渗为</w:t>
      </w:r>
      <w:r>
        <w:rPr>
          <w:rFonts w:hint="eastAsia" w:cs="宋体"/>
          <w:color w:val="auto"/>
          <w:sz w:val="21"/>
          <w:szCs w:val="21"/>
          <w:u w:val="single"/>
        </w:rPr>
        <w:t>5</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 装修工程为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 电气管线、给排水管道、设备安装工程为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5. 供热与供冷系统为</w:t>
      </w:r>
      <w:r>
        <w:rPr>
          <w:rFonts w:hint="eastAsia" w:cs="宋体"/>
          <w:color w:val="auto"/>
          <w:sz w:val="21"/>
          <w:szCs w:val="21"/>
          <w:u w:val="single"/>
        </w:rPr>
        <w:t>2</w:t>
      </w:r>
      <w:r>
        <w:rPr>
          <w:rFonts w:hint="eastAsia" w:cs="宋体"/>
          <w:color w:val="auto"/>
          <w:sz w:val="21"/>
          <w:szCs w:val="21"/>
        </w:rPr>
        <w:t>个采暖期、供冷期；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 住宅小区内的给排水设施、道路等配套工程为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 其他项目保修期限约定如下：</w:t>
      </w:r>
      <w:r>
        <w:rPr>
          <w:rFonts w:hint="eastAsia" w:cs="宋体"/>
          <w:color w:val="auto"/>
          <w:sz w:val="21"/>
          <w:szCs w:val="21"/>
          <w:u w:val="single"/>
        </w:rPr>
        <w:t>保温工程5年</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缺陷责任期终止后，发包人应退还剩余的质量保证金。</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四、质量保修责任</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1. 属于保修范围、内容的项目，承包人应当在接到保修通知之日起7天内派人保修。承包人不在约定期限内派人保修的，发包人可以委托他人修理。</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2. 发生紧急事故需抢修的，承包人在接到事故通知后，应当立即到达事故现场抢修。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3.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4. 质量保修完成后，由发包人组织验收。</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五、保修费用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保修费用由造成质量缺陷的责任方承担。</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六、双方约定的其他工程质量保修事项：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399" w:firstLineChars="190"/>
        <w:rPr>
          <w:rFonts w:cs="宋体"/>
          <w:color w:val="auto"/>
          <w:sz w:val="21"/>
          <w:szCs w:val="21"/>
        </w:rPr>
      </w:pPr>
      <w:r>
        <w:rPr>
          <w:rFonts w:hint="eastAsia" w:cs="宋体"/>
          <w:color w:val="auto"/>
          <w:sz w:val="21"/>
          <w:szCs w:val="21"/>
        </w:rPr>
        <w:t>工程质量保修书由发包人、承包人在工程竣工验收前共同签署，作为施工合同附件，其有效期限至保修期满。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w:t>
      </w:r>
    </w:p>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22" w:name="_Toc128950238"/>
      <w:r>
        <w:rPr>
          <w:rFonts w:hint="eastAsia" w:ascii="Times New Roman" w:eastAsia="黑体"/>
          <w:color w:val="auto"/>
          <w:szCs w:val="24"/>
        </w:rPr>
        <w:t>附</w:t>
      </w:r>
      <w:bookmarkStart w:id="623" w:name="_Toc296944565"/>
      <w:bookmarkStart w:id="624" w:name="_Toc296347225"/>
      <w:bookmarkStart w:id="625" w:name="_Toc296891266"/>
      <w:bookmarkStart w:id="626" w:name="_Toc296503226"/>
      <w:bookmarkStart w:id="627" w:name="_Toc267261693"/>
      <w:bookmarkStart w:id="628" w:name="_Toc296891054"/>
      <w:bookmarkStart w:id="629" w:name="_Toc296346727"/>
      <w:r>
        <w:rPr>
          <w:rFonts w:hint="eastAsia" w:ascii="Times New Roman" w:eastAsia="黑体"/>
          <w:color w:val="auto"/>
          <w:szCs w:val="24"/>
        </w:rPr>
        <w:t>件</w:t>
      </w:r>
      <w:r>
        <w:rPr>
          <w:rFonts w:ascii="Times New Roman" w:eastAsia="黑体"/>
          <w:color w:val="auto"/>
          <w:szCs w:val="24"/>
        </w:rPr>
        <w:t>3</w:t>
      </w:r>
      <w:r>
        <w:rPr>
          <w:rFonts w:hint="eastAsia" w:ascii="Times New Roman" w:eastAsia="黑体"/>
          <w:color w:val="auto"/>
          <w:szCs w:val="24"/>
        </w:rPr>
        <w:t>：</w:t>
      </w:r>
      <w:bookmarkEnd w:id="623"/>
      <w:bookmarkEnd w:id="624"/>
      <w:bookmarkEnd w:id="625"/>
      <w:bookmarkEnd w:id="626"/>
      <w:bookmarkEnd w:id="627"/>
      <w:bookmarkEnd w:id="628"/>
      <w:bookmarkEnd w:id="629"/>
      <w:r>
        <w:rPr>
          <w:rFonts w:hint="eastAsia" w:ascii="Times New Roman" w:eastAsia="黑体"/>
          <w:color w:val="auto"/>
          <w:szCs w:val="24"/>
        </w:rPr>
        <w:t>工程质量保修书（市政公用工程）</w:t>
      </w:r>
      <w:bookmarkEnd w:id="622"/>
    </w:p>
    <w:p>
      <w:pPr>
        <w:adjustRightInd w:val="0"/>
        <w:snapToGrid w:val="0"/>
        <w:spacing w:line="360" w:lineRule="auto"/>
        <w:jc w:val="center"/>
        <w:rPr>
          <w:rFonts w:cs="宋体"/>
          <w:color w:val="auto"/>
          <w:sz w:val="28"/>
          <w:szCs w:val="28"/>
        </w:rPr>
      </w:pPr>
      <w:r>
        <w:rPr>
          <w:rFonts w:hint="eastAsia" w:cs="宋体"/>
          <w:color w:val="auto"/>
          <w:sz w:val="28"/>
          <w:szCs w:val="28"/>
        </w:rPr>
        <w:t>工程质量保修书</w:t>
      </w:r>
    </w:p>
    <w:p>
      <w:pPr>
        <w:adjustRightInd w:val="0"/>
        <w:snapToGrid w:val="0"/>
        <w:spacing w:line="360" w:lineRule="auto"/>
        <w:ind w:firstLine="420" w:firstLineChars="200"/>
        <w:rPr>
          <w:rFonts w:cs="宋体"/>
          <w:color w:val="auto"/>
          <w:position w:val="14"/>
          <w:sz w:val="21"/>
          <w:szCs w:val="21"/>
        </w:rPr>
      </w:pPr>
      <w:r>
        <w:rPr>
          <w:rFonts w:hint="eastAsia" w:cs="宋体"/>
          <w:bCs/>
          <w:color w:val="auto"/>
          <w:position w:val="14"/>
          <w:sz w:val="21"/>
          <w:szCs w:val="21"/>
        </w:rPr>
        <w:t>发包人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14"/>
          <w:sz w:val="21"/>
          <w:szCs w:val="21"/>
        </w:rPr>
      </w:pPr>
      <w:r>
        <w:rPr>
          <w:rFonts w:hint="eastAsia" w:cs="宋体"/>
          <w:bCs/>
          <w:color w:val="auto"/>
          <w:position w:val="14"/>
          <w:sz w:val="21"/>
          <w:szCs w:val="21"/>
        </w:rPr>
        <w:t>承包人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发包人、承包人根据《中华人民共和国建筑法》《建设工程质量管理条例》，参照《房屋建筑工程质量保修办法》，经协商一致，对______________________工程签订工程质量保修书。</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一、工程质量保修范围和内容</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按照《建设工程质量管理条例》及有关法律、法规、规章的管理规定，双方约定由施工单位在质量保修期内，承担本工程的质量保修责任。</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质量保修范围和内容：______________________。</w:t>
      </w:r>
      <w:r>
        <w:rPr>
          <w:rFonts w:hint="eastAsia" w:cs="宋体"/>
          <w:bCs/>
          <w:color w:val="auto"/>
          <w:position w:val="6"/>
          <w:sz w:val="21"/>
          <w:szCs w:val="21"/>
        </w:rPr>
        <w:t>因不可抗力或使用不当造成的质量缺陷，不属保修范围。</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二、质量保修期</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双方根据《建设工程质量管理条例》及有关规定，约定本工程的质量保修期如下：</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1. 主体结构和基础工程，为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2.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3.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 xml:space="preserve">4. _____________工程，为 </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缺陷责任期终止后，发包人应退还剩余的质量保证金。</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color w:val="auto"/>
          <w:sz w:val="21"/>
          <w:szCs w:val="21"/>
        </w:rPr>
        <w:t>四、质量保修责任</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1. 属于保修范围、内容的项目，承包人应当在接到保修通知之日起7天内派人保修。承包人不在约定期限内派人保修的，发包人可以委托他人修理。</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2. 发生紧急抢修事故的，承包人在接到事故通知后，应当立即到达事故现场抢修。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3. 对于涉及结构安全的质量问题，应当立即向当地建设行政主管部门报告，采取安全防范措施；由原设计单位或者具有相应资质等级的设计单位提出保修方案，承包人实施保修。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4. 质量保修完成后，由发包人组织验收。</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五、保修费用</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保修费用由造成质量缺陷的责任方承担。</w:t>
      </w:r>
    </w:p>
    <w:p>
      <w:pPr>
        <w:widowControl/>
        <w:adjustRightInd w:val="0"/>
        <w:snapToGrid w:val="0"/>
        <w:spacing w:line="360" w:lineRule="auto"/>
        <w:ind w:firstLine="420" w:firstLineChars="200"/>
        <w:jc w:val="left"/>
        <w:rPr>
          <w:rFonts w:cs="宋体"/>
          <w:b/>
          <w:color w:val="auto"/>
          <w:sz w:val="21"/>
          <w:szCs w:val="21"/>
        </w:rPr>
      </w:pPr>
      <w:r>
        <w:rPr>
          <w:rFonts w:hint="eastAsia" w:cs="宋体"/>
          <w:bCs/>
          <w:color w:val="auto"/>
          <w:position w:val="6"/>
          <w:sz w:val="21"/>
          <w:szCs w:val="21"/>
        </w:rPr>
        <w:t>六、</w:t>
      </w:r>
      <w:r>
        <w:rPr>
          <w:rFonts w:hint="eastAsia" w:cs="宋体"/>
          <w:b/>
          <w:color w:val="auto"/>
          <w:sz w:val="21"/>
          <w:szCs w:val="21"/>
        </w:rPr>
        <w:t>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widowControl/>
        <w:adjustRightInd w:val="0"/>
        <w:snapToGrid w:val="0"/>
        <w:spacing w:line="360" w:lineRule="auto"/>
        <w:ind w:firstLine="420" w:firstLineChars="200"/>
        <w:jc w:val="left"/>
        <w:rPr>
          <w:rFonts w:cs="宋体"/>
          <w:bCs/>
          <w:color w:val="auto"/>
          <w:sz w:val="21"/>
          <w:szCs w:val="21"/>
        </w:rPr>
      </w:pPr>
      <w:r>
        <w:rPr>
          <w:rFonts w:hint="eastAsia" w:cs="宋体"/>
          <w:bCs/>
          <w:color w:val="auto"/>
          <w:position w:val="6"/>
          <w:sz w:val="21"/>
          <w:szCs w:val="21"/>
        </w:rPr>
        <w:t>本工程质量保修书，由施工合同发包人、承包人双方在竣工验收前共同签署，作为施工合同附件，其有效期限至保修期满。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30" w:name="_Toc128950239"/>
      <w:r>
        <w:rPr>
          <w:rFonts w:hint="eastAsia" w:ascii="Times New Roman" w:eastAsia="黑体"/>
          <w:color w:val="auto"/>
          <w:szCs w:val="24"/>
        </w:rPr>
        <w:t>附件</w:t>
      </w:r>
      <w:r>
        <w:rPr>
          <w:rFonts w:ascii="Times New Roman" w:eastAsia="黑体"/>
          <w:color w:val="auto"/>
          <w:szCs w:val="24"/>
        </w:rPr>
        <w:t>4</w:t>
      </w:r>
      <w:r>
        <w:rPr>
          <w:rFonts w:hint="eastAsia" w:ascii="Times New Roman" w:eastAsia="黑体"/>
          <w:color w:val="auto"/>
          <w:szCs w:val="24"/>
        </w:rPr>
        <w:t>：主要建设工程文件目录</w:t>
      </w:r>
      <w:bookmarkEnd w:id="630"/>
    </w:p>
    <w:p>
      <w:pPr>
        <w:spacing w:before="156" w:beforeLines="50" w:after="156" w:afterLines="50"/>
        <w:jc w:val="center"/>
        <w:rPr>
          <w:rFonts w:cs="宋体"/>
          <w:color w:val="auto"/>
          <w:szCs w:val="21"/>
        </w:rPr>
      </w:pPr>
      <w:r>
        <w:rPr>
          <w:rFonts w:hint="eastAsia" w:cs="宋体"/>
          <w:color w:val="auto"/>
          <w:szCs w:val="21"/>
        </w:rPr>
        <w:t>主要建设工程文件目录</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文件名称</w:t>
            </w:r>
          </w:p>
        </w:tc>
        <w:tc>
          <w:tcPr>
            <w:tcW w:w="70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套数</w:t>
            </w:r>
          </w:p>
        </w:tc>
        <w:tc>
          <w:tcPr>
            <w:tcW w:w="80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费用（元）</w:t>
            </w:r>
          </w:p>
        </w:tc>
        <w:tc>
          <w:tcPr>
            <w:tcW w:w="68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质量</w:t>
            </w:r>
          </w:p>
        </w:tc>
        <w:tc>
          <w:tcPr>
            <w:tcW w:w="80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移交时间</w:t>
            </w:r>
          </w:p>
        </w:tc>
        <w:tc>
          <w:tcPr>
            <w:tcW w:w="92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pPr>
              <w:keepNext/>
              <w:jc w:val="center"/>
              <w:rPr>
                <w:rFonts w:cs="宋体"/>
                <w:color w:val="auto"/>
                <w:szCs w:val="21"/>
              </w:rPr>
            </w:pPr>
          </w:p>
        </w:tc>
        <w:tc>
          <w:tcPr>
            <w:tcW w:w="706"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687"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922"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pPr>
              <w:keepNext/>
              <w:jc w:val="center"/>
              <w:rPr>
                <w:rFonts w:cs="宋体"/>
                <w:color w:val="auto"/>
                <w:szCs w:val="21"/>
              </w:rPr>
            </w:pPr>
          </w:p>
        </w:tc>
        <w:tc>
          <w:tcPr>
            <w:tcW w:w="706"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687"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922"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vAlign w:val="center"/>
          </w:tcPr>
          <w:p>
            <w:pPr>
              <w:jc w:val="center"/>
              <w:rPr>
                <w:rFonts w:cs="宋体"/>
                <w:color w:val="auto"/>
                <w:szCs w:val="21"/>
              </w:rPr>
            </w:pPr>
          </w:p>
        </w:tc>
        <w:tc>
          <w:tcPr>
            <w:tcW w:w="706"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687"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922"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31" w:name="_Toc128950240"/>
      <w:r>
        <w:rPr>
          <w:rFonts w:hint="eastAsia" w:ascii="Times New Roman" w:eastAsia="黑体"/>
          <w:color w:val="auto"/>
          <w:szCs w:val="24"/>
        </w:rPr>
        <w:t>附</w:t>
      </w:r>
      <w:bookmarkStart w:id="632" w:name="_Toc296944566"/>
      <w:bookmarkStart w:id="633" w:name="_Toc267261698"/>
      <w:bookmarkStart w:id="634" w:name="_Toc296503227"/>
      <w:bookmarkStart w:id="635" w:name="_Toc296347226"/>
      <w:bookmarkStart w:id="636" w:name="_Toc296346728"/>
      <w:bookmarkStart w:id="637" w:name="_Toc296891055"/>
      <w:bookmarkStart w:id="638" w:name="_Toc296891267"/>
      <w:r>
        <w:rPr>
          <w:rFonts w:hint="eastAsia" w:ascii="Times New Roman" w:eastAsia="黑体"/>
          <w:color w:val="auto"/>
          <w:szCs w:val="24"/>
        </w:rPr>
        <w:t>件</w:t>
      </w:r>
      <w:r>
        <w:rPr>
          <w:rFonts w:ascii="Times New Roman" w:eastAsia="黑体"/>
          <w:color w:val="auto"/>
          <w:szCs w:val="24"/>
        </w:rPr>
        <w:t>5</w:t>
      </w:r>
      <w:r>
        <w:rPr>
          <w:rFonts w:hint="eastAsia" w:ascii="Times New Roman" w:eastAsia="黑体"/>
          <w:color w:val="auto"/>
          <w:szCs w:val="24"/>
        </w:rPr>
        <w:t>：承包人用于本工程施工的机械设备表</w:t>
      </w:r>
      <w:bookmarkEnd w:id="631"/>
    </w:p>
    <w:bookmarkEnd w:id="632"/>
    <w:bookmarkEnd w:id="633"/>
    <w:bookmarkEnd w:id="634"/>
    <w:bookmarkEnd w:id="635"/>
    <w:bookmarkEnd w:id="636"/>
    <w:bookmarkEnd w:id="637"/>
    <w:bookmarkEnd w:id="638"/>
    <w:p>
      <w:pPr>
        <w:spacing w:before="156" w:beforeLines="50" w:after="156" w:afterLines="50"/>
        <w:jc w:val="center"/>
        <w:rPr>
          <w:rFonts w:cs="宋体"/>
          <w:color w:val="auto"/>
          <w:szCs w:val="21"/>
        </w:rPr>
      </w:pPr>
      <w:r>
        <w:rPr>
          <w:rFonts w:hint="eastAsia" w:cs="宋体"/>
          <w:color w:val="auto"/>
          <w:szCs w:val="21"/>
        </w:rPr>
        <w:t>承包人用于本工程施工的机械设备表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序号</w:t>
            </w:r>
          </w:p>
        </w:tc>
        <w:tc>
          <w:tcPr>
            <w:tcW w:w="79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机械或设备名称</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规格型号</w:t>
            </w:r>
          </w:p>
        </w:tc>
        <w:tc>
          <w:tcPr>
            <w:tcW w:w="39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数量</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产地</w:t>
            </w:r>
          </w:p>
        </w:tc>
        <w:tc>
          <w:tcPr>
            <w:tcW w:w="53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制造年份</w:t>
            </w:r>
          </w:p>
        </w:tc>
        <w:tc>
          <w:tcPr>
            <w:tcW w:w="82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额定功率（kW)</w:t>
            </w:r>
          </w:p>
        </w:tc>
        <w:tc>
          <w:tcPr>
            <w:tcW w:w="56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生产能力</w:t>
            </w:r>
          </w:p>
        </w:tc>
        <w:tc>
          <w:tcPr>
            <w:tcW w:w="51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pPr>
              <w:keepNext/>
              <w:jc w:val="center"/>
              <w:rPr>
                <w:rFonts w:cs="宋体"/>
                <w:color w:val="auto"/>
                <w:szCs w:val="21"/>
              </w:rPr>
            </w:pPr>
          </w:p>
        </w:tc>
        <w:tc>
          <w:tcPr>
            <w:tcW w:w="792"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396"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537" w:type="pct"/>
            <w:tcBorders>
              <w:top w:val="double" w:color="auto" w:sz="6" w:space="0"/>
            </w:tcBorders>
            <w:vAlign w:val="center"/>
          </w:tcPr>
          <w:p>
            <w:pPr>
              <w:keepNext/>
              <w:jc w:val="center"/>
              <w:rPr>
                <w:rFonts w:cs="宋体"/>
                <w:color w:val="auto"/>
                <w:szCs w:val="21"/>
              </w:rPr>
            </w:pPr>
          </w:p>
        </w:tc>
        <w:tc>
          <w:tcPr>
            <w:tcW w:w="827" w:type="pct"/>
            <w:tcBorders>
              <w:top w:val="double" w:color="auto" w:sz="6" w:space="0"/>
            </w:tcBorders>
            <w:vAlign w:val="center"/>
          </w:tcPr>
          <w:p>
            <w:pPr>
              <w:keepNext/>
              <w:jc w:val="center"/>
              <w:rPr>
                <w:rFonts w:cs="宋体"/>
                <w:color w:val="auto"/>
                <w:szCs w:val="21"/>
              </w:rPr>
            </w:pPr>
          </w:p>
        </w:tc>
        <w:tc>
          <w:tcPr>
            <w:tcW w:w="569" w:type="pct"/>
            <w:tcBorders>
              <w:top w:val="double" w:color="auto" w:sz="6" w:space="0"/>
            </w:tcBorders>
            <w:vAlign w:val="center"/>
          </w:tcPr>
          <w:p>
            <w:pPr>
              <w:keepNext/>
              <w:jc w:val="center"/>
              <w:rPr>
                <w:rFonts w:cs="宋体"/>
                <w:color w:val="auto"/>
                <w:szCs w:val="21"/>
              </w:rPr>
            </w:pPr>
          </w:p>
        </w:tc>
        <w:tc>
          <w:tcPr>
            <w:tcW w:w="519"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pPr>
              <w:keepNext/>
              <w:jc w:val="center"/>
              <w:rPr>
                <w:rFonts w:cs="宋体"/>
                <w:color w:val="auto"/>
                <w:szCs w:val="21"/>
              </w:rPr>
            </w:pPr>
          </w:p>
        </w:tc>
        <w:tc>
          <w:tcPr>
            <w:tcW w:w="792"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396"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537" w:type="pct"/>
            <w:tcBorders>
              <w:top w:val="nil"/>
            </w:tcBorders>
            <w:vAlign w:val="center"/>
          </w:tcPr>
          <w:p>
            <w:pPr>
              <w:keepNext/>
              <w:jc w:val="center"/>
              <w:rPr>
                <w:rFonts w:cs="宋体"/>
                <w:color w:val="auto"/>
                <w:szCs w:val="21"/>
              </w:rPr>
            </w:pPr>
          </w:p>
        </w:tc>
        <w:tc>
          <w:tcPr>
            <w:tcW w:w="827" w:type="pct"/>
            <w:tcBorders>
              <w:top w:val="nil"/>
            </w:tcBorders>
            <w:vAlign w:val="center"/>
          </w:tcPr>
          <w:p>
            <w:pPr>
              <w:keepNext/>
              <w:jc w:val="center"/>
              <w:rPr>
                <w:rFonts w:cs="宋体"/>
                <w:color w:val="auto"/>
                <w:szCs w:val="21"/>
              </w:rPr>
            </w:pPr>
          </w:p>
        </w:tc>
        <w:tc>
          <w:tcPr>
            <w:tcW w:w="569" w:type="pct"/>
            <w:tcBorders>
              <w:top w:val="nil"/>
            </w:tcBorders>
            <w:vAlign w:val="center"/>
          </w:tcPr>
          <w:p>
            <w:pPr>
              <w:keepNext/>
              <w:jc w:val="center"/>
              <w:rPr>
                <w:rFonts w:cs="宋体"/>
                <w:color w:val="auto"/>
                <w:szCs w:val="21"/>
              </w:rPr>
            </w:pPr>
          </w:p>
        </w:tc>
        <w:tc>
          <w:tcPr>
            <w:tcW w:w="519"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pPr>
              <w:jc w:val="center"/>
              <w:rPr>
                <w:rFonts w:cs="宋体"/>
                <w:color w:val="auto"/>
                <w:szCs w:val="21"/>
              </w:rPr>
            </w:pPr>
          </w:p>
        </w:tc>
        <w:tc>
          <w:tcPr>
            <w:tcW w:w="792"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396"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537" w:type="pct"/>
            <w:tcBorders>
              <w:bottom w:val="single" w:color="auto" w:sz="12" w:space="0"/>
            </w:tcBorders>
            <w:vAlign w:val="center"/>
          </w:tcPr>
          <w:p>
            <w:pPr>
              <w:jc w:val="center"/>
              <w:rPr>
                <w:rFonts w:cs="宋体"/>
                <w:color w:val="auto"/>
                <w:szCs w:val="21"/>
              </w:rPr>
            </w:pPr>
          </w:p>
        </w:tc>
        <w:tc>
          <w:tcPr>
            <w:tcW w:w="827" w:type="pct"/>
            <w:tcBorders>
              <w:bottom w:val="single" w:color="auto" w:sz="12" w:space="0"/>
            </w:tcBorders>
            <w:vAlign w:val="center"/>
          </w:tcPr>
          <w:p>
            <w:pPr>
              <w:jc w:val="center"/>
              <w:rPr>
                <w:rFonts w:cs="宋体"/>
                <w:color w:val="auto"/>
                <w:szCs w:val="21"/>
              </w:rPr>
            </w:pPr>
          </w:p>
        </w:tc>
        <w:tc>
          <w:tcPr>
            <w:tcW w:w="569" w:type="pct"/>
            <w:tcBorders>
              <w:bottom w:val="single" w:color="auto" w:sz="12" w:space="0"/>
            </w:tcBorders>
            <w:vAlign w:val="center"/>
          </w:tcPr>
          <w:p>
            <w:pPr>
              <w:jc w:val="center"/>
              <w:rPr>
                <w:rFonts w:cs="宋体"/>
                <w:color w:val="auto"/>
                <w:szCs w:val="21"/>
              </w:rPr>
            </w:pPr>
          </w:p>
        </w:tc>
        <w:tc>
          <w:tcPr>
            <w:tcW w:w="519"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39" w:name="_Toc128950241"/>
      <w:r>
        <w:rPr>
          <w:rFonts w:hint="eastAsia" w:ascii="Times New Roman" w:eastAsia="黑体"/>
          <w:color w:val="auto"/>
          <w:szCs w:val="24"/>
        </w:rPr>
        <w:t>附</w:t>
      </w:r>
      <w:bookmarkStart w:id="640" w:name="_Toc296346729"/>
      <w:bookmarkStart w:id="641" w:name="_Toc296347227"/>
      <w:bookmarkStart w:id="642" w:name="_Toc296944567"/>
      <w:bookmarkStart w:id="643" w:name="_Toc296891268"/>
      <w:bookmarkStart w:id="644" w:name="_Toc267261699"/>
      <w:bookmarkStart w:id="645" w:name="_Toc296503228"/>
      <w:bookmarkStart w:id="646" w:name="_Toc296891056"/>
      <w:r>
        <w:rPr>
          <w:rFonts w:hint="eastAsia" w:ascii="Times New Roman" w:eastAsia="黑体"/>
          <w:color w:val="auto"/>
          <w:szCs w:val="24"/>
        </w:rPr>
        <w:t>件</w:t>
      </w:r>
      <w:bookmarkEnd w:id="640"/>
      <w:bookmarkEnd w:id="641"/>
      <w:bookmarkEnd w:id="642"/>
      <w:bookmarkEnd w:id="643"/>
      <w:bookmarkEnd w:id="644"/>
      <w:bookmarkEnd w:id="645"/>
      <w:bookmarkEnd w:id="646"/>
      <w:r>
        <w:rPr>
          <w:rFonts w:ascii="Times New Roman" w:eastAsia="黑体"/>
          <w:color w:val="auto"/>
          <w:szCs w:val="24"/>
        </w:rPr>
        <w:t>6</w:t>
      </w:r>
      <w:r>
        <w:rPr>
          <w:rFonts w:hint="eastAsia" w:ascii="Times New Roman" w:eastAsia="黑体"/>
          <w:color w:val="auto"/>
          <w:szCs w:val="24"/>
        </w:rPr>
        <w:t>：承包人主要施工管理人员表</w:t>
      </w:r>
      <w:bookmarkEnd w:id="639"/>
    </w:p>
    <w:p>
      <w:pPr>
        <w:spacing w:line="360" w:lineRule="auto"/>
        <w:jc w:val="center"/>
        <w:rPr>
          <w:rFonts w:cs="宋体"/>
          <w:color w:val="auto"/>
        </w:rPr>
      </w:pPr>
      <w:r>
        <w:rPr>
          <w:rFonts w:hint="eastAsia" w:cs="宋体"/>
          <w:color w:val="auto"/>
        </w:rPr>
        <w:t>承包人主要施工管理人员表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2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28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115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1151"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pPr>
              <w:spacing w:line="360" w:lineRule="auto"/>
              <w:jc w:val="center"/>
              <w:rPr>
                <w:rFonts w:cs="宋体"/>
                <w:color w:val="auto"/>
                <w:szCs w:val="21"/>
              </w:rPr>
            </w:pPr>
            <w:r>
              <w:rPr>
                <w:rFonts w:hint="eastAsia" w:cs="宋体"/>
                <w:color w:val="auto"/>
                <w:szCs w:val="21"/>
              </w:rPr>
              <w:t>项目主管</w:t>
            </w:r>
          </w:p>
        </w:tc>
        <w:tc>
          <w:tcPr>
            <w:tcW w:w="627"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1281" w:type="pct"/>
            <w:tcBorders>
              <w:top w:val="nil"/>
            </w:tcBorders>
            <w:vAlign w:val="center"/>
          </w:tcPr>
          <w:p>
            <w:pPr>
              <w:keepNext/>
              <w:spacing w:line="360" w:lineRule="auto"/>
              <w:jc w:val="center"/>
              <w:rPr>
                <w:rFonts w:cs="宋体"/>
                <w:color w:val="auto"/>
                <w:szCs w:val="21"/>
              </w:rPr>
            </w:pPr>
          </w:p>
        </w:tc>
        <w:tc>
          <w:tcPr>
            <w:tcW w:w="1151"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项目副经理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项目技术负责人</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施工员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质检员（质量员）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安全员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资料员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1281" w:type="pct"/>
            <w:tcBorders>
              <w:bottom w:val="nil"/>
            </w:tcBorders>
            <w:vAlign w:val="center"/>
          </w:tcPr>
          <w:p>
            <w:pPr>
              <w:keepNext/>
              <w:spacing w:line="360" w:lineRule="auto"/>
              <w:jc w:val="center"/>
              <w:rPr>
                <w:rFonts w:cs="宋体"/>
                <w:color w:val="auto"/>
                <w:szCs w:val="21"/>
              </w:rPr>
            </w:pPr>
          </w:p>
        </w:tc>
        <w:tc>
          <w:tcPr>
            <w:tcW w:w="1151"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pPr>
              <w:keepNext/>
              <w:spacing w:line="360" w:lineRule="auto"/>
              <w:jc w:val="center"/>
              <w:rPr>
                <w:rFonts w:cs="宋体"/>
                <w:color w:val="auto"/>
                <w:szCs w:val="21"/>
              </w:rPr>
            </w:pPr>
          </w:p>
        </w:tc>
        <w:tc>
          <w:tcPr>
            <w:tcW w:w="627"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1281" w:type="pct"/>
            <w:tcBorders>
              <w:bottom w:val="single" w:color="auto" w:sz="12" w:space="0"/>
            </w:tcBorders>
            <w:vAlign w:val="center"/>
          </w:tcPr>
          <w:p>
            <w:pPr>
              <w:keepNext/>
              <w:spacing w:line="360" w:lineRule="auto"/>
              <w:jc w:val="center"/>
              <w:rPr>
                <w:rFonts w:cs="宋体"/>
                <w:color w:val="auto"/>
                <w:szCs w:val="21"/>
              </w:rPr>
            </w:pPr>
          </w:p>
        </w:tc>
        <w:tc>
          <w:tcPr>
            <w:tcW w:w="1151"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47" w:name="_Toc128950242"/>
      <w:r>
        <w:rPr>
          <w:rFonts w:hint="eastAsia" w:ascii="Times New Roman" w:eastAsia="黑体"/>
          <w:color w:val="auto"/>
          <w:szCs w:val="24"/>
        </w:rPr>
        <w:t>附</w:t>
      </w:r>
      <w:bookmarkStart w:id="648" w:name="_Toc296891269"/>
      <w:bookmarkStart w:id="649" w:name="_Toc296891057"/>
      <w:bookmarkStart w:id="650" w:name="_Toc296347228"/>
      <w:bookmarkStart w:id="651" w:name="_Toc296944568"/>
      <w:bookmarkStart w:id="652" w:name="_Toc296503229"/>
      <w:bookmarkStart w:id="653" w:name="_Toc296346730"/>
      <w:r>
        <w:rPr>
          <w:rFonts w:hint="eastAsia" w:ascii="Times New Roman" w:eastAsia="黑体"/>
          <w:color w:val="auto"/>
          <w:szCs w:val="24"/>
        </w:rPr>
        <w:t>件</w:t>
      </w:r>
      <w:r>
        <w:rPr>
          <w:rFonts w:ascii="Times New Roman" w:eastAsia="黑体"/>
          <w:color w:val="auto"/>
          <w:szCs w:val="24"/>
        </w:rPr>
        <w:t>7</w:t>
      </w:r>
      <w:r>
        <w:rPr>
          <w:rFonts w:hint="eastAsia" w:ascii="Times New Roman" w:eastAsia="黑体"/>
          <w:color w:val="auto"/>
          <w:szCs w:val="24"/>
        </w:rPr>
        <w:t>：分包人主要施工管理人员表</w:t>
      </w:r>
      <w:bookmarkEnd w:id="647"/>
    </w:p>
    <w:bookmarkEnd w:id="648"/>
    <w:bookmarkEnd w:id="649"/>
    <w:bookmarkEnd w:id="650"/>
    <w:bookmarkEnd w:id="651"/>
    <w:bookmarkEnd w:id="652"/>
    <w:bookmarkEnd w:id="653"/>
    <w:p>
      <w:pPr>
        <w:spacing w:before="156" w:beforeLines="50" w:after="156" w:afterLines="50" w:line="360" w:lineRule="auto"/>
        <w:jc w:val="center"/>
        <w:rPr>
          <w:rFonts w:cs="宋体"/>
          <w:b/>
          <w:color w:val="auto"/>
          <w:szCs w:val="21"/>
        </w:rPr>
      </w:pPr>
      <w:r>
        <w:rPr>
          <w:rFonts w:hint="eastAsia" w:cs="宋体"/>
          <w:b/>
          <w:color w:val="auto"/>
          <w:szCs w:val="21"/>
        </w:rPr>
        <w:t>分包人主要施工管理人员表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4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1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37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88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73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739"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pPr>
              <w:keepNext/>
              <w:spacing w:line="360" w:lineRule="auto"/>
              <w:jc w:val="center"/>
              <w:rPr>
                <w:rFonts w:cs="宋体"/>
                <w:color w:val="auto"/>
                <w:szCs w:val="21"/>
              </w:rPr>
            </w:pPr>
            <w:r>
              <w:rPr>
                <w:rFonts w:hint="eastAsia" w:cs="宋体"/>
                <w:color w:val="auto"/>
                <w:szCs w:val="21"/>
              </w:rPr>
              <w:t>项目主管</w:t>
            </w:r>
          </w:p>
        </w:tc>
        <w:tc>
          <w:tcPr>
            <w:tcW w:w="641" w:type="pct"/>
            <w:tcBorders>
              <w:top w:val="nil"/>
            </w:tcBorders>
            <w:vAlign w:val="center"/>
          </w:tcPr>
          <w:p>
            <w:pPr>
              <w:keepNext/>
              <w:spacing w:line="360" w:lineRule="auto"/>
              <w:jc w:val="center"/>
              <w:rPr>
                <w:rFonts w:cs="宋体"/>
                <w:color w:val="auto"/>
                <w:szCs w:val="21"/>
              </w:rPr>
            </w:pPr>
          </w:p>
        </w:tc>
        <w:tc>
          <w:tcPr>
            <w:tcW w:w="513" w:type="pct"/>
            <w:tcBorders>
              <w:top w:val="nil"/>
            </w:tcBorders>
            <w:vAlign w:val="center"/>
          </w:tcPr>
          <w:p>
            <w:pPr>
              <w:keepNext/>
              <w:spacing w:line="360" w:lineRule="auto"/>
              <w:jc w:val="center"/>
              <w:rPr>
                <w:rFonts w:cs="宋体"/>
                <w:color w:val="auto"/>
                <w:szCs w:val="21"/>
              </w:rPr>
            </w:pPr>
          </w:p>
        </w:tc>
        <w:tc>
          <w:tcPr>
            <w:tcW w:w="373" w:type="pct"/>
            <w:tcBorders>
              <w:top w:val="nil"/>
            </w:tcBorders>
            <w:vAlign w:val="center"/>
          </w:tcPr>
          <w:p>
            <w:pPr>
              <w:keepNext/>
              <w:spacing w:line="360" w:lineRule="auto"/>
              <w:jc w:val="center"/>
              <w:rPr>
                <w:rFonts w:cs="宋体"/>
                <w:color w:val="auto"/>
                <w:szCs w:val="21"/>
              </w:rPr>
            </w:pPr>
          </w:p>
        </w:tc>
        <w:tc>
          <w:tcPr>
            <w:tcW w:w="1889" w:type="pct"/>
            <w:tcBorders>
              <w:top w:val="nil"/>
            </w:tcBorders>
            <w:vAlign w:val="center"/>
          </w:tcPr>
          <w:p>
            <w:pPr>
              <w:keepNext/>
              <w:spacing w:line="360" w:lineRule="auto"/>
              <w:jc w:val="center"/>
              <w:rPr>
                <w:rFonts w:cs="宋体"/>
                <w:color w:val="auto"/>
                <w:szCs w:val="21"/>
              </w:rPr>
            </w:pPr>
          </w:p>
        </w:tc>
        <w:tc>
          <w:tcPr>
            <w:tcW w:w="739"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845" w:type="pct"/>
            <w:vMerge w:val="continue"/>
            <w:tcBorders>
              <w:bottom w:val="nil"/>
            </w:tcBorders>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项目副经理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项目技术负责人</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施工员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质检员（质量员）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安全员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资料员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tcBorders>
              <w:bottom w:val="nil"/>
            </w:tcBorders>
            <w:vAlign w:val="center"/>
          </w:tcPr>
          <w:p>
            <w:pPr>
              <w:keepNext/>
              <w:spacing w:line="360" w:lineRule="auto"/>
              <w:jc w:val="center"/>
              <w:rPr>
                <w:rFonts w:cs="宋体"/>
                <w:color w:val="auto"/>
                <w:szCs w:val="21"/>
              </w:rPr>
            </w:pPr>
          </w:p>
        </w:tc>
        <w:tc>
          <w:tcPr>
            <w:tcW w:w="513" w:type="pct"/>
            <w:tcBorders>
              <w:bottom w:val="nil"/>
            </w:tcBorders>
            <w:vAlign w:val="center"/>
          </w:tcPr>
          <w:p>
            <w:pPr>
              <w:keepNext/>
              <w:spacing w:line="360" w:lineRule="auto"/>
              <w:jc w:val="center"/>
              <w:rPr>
                <w:rFonts w:cs="宋体"/>
                <w:color w:val="auto"/>
                <w:szCs w:val="21"/>
              </w:rPr>
            </w:pPr>
          </w:p>
        </w:tc>
        <w:tc>
          <w:tcPr>
            <w:tcW w:w="373" w:type="pct"/>
            <w:tcBorders>
              <w:bottom w:val="nil"/>
            </w:tcBorders>
            <w:vAlign w:val="center"/>
          </w:tcPr>
          <w:p>
            <w:pPr>
              <w:keepNext/>
              <w:spacing w:line="360" w:lineRule="auto"/>
              <w:jc w:val="center"/>
              <w:rPr>
                <w:rFonts w:cs="宋体"/>
                <w:color w:val="auto"/>
                <w:szCs w:val="21"/>
              </w:rPr>
            </w:pPr>
          </w:p>
        </w:tc>
        <w:tc>
          <w:tcPr>
            <w:tcW w:w="1889" w:type="pct"/>
            <w:tcBorders>
              <w:bottom w:val="nil"/>
            </w:tcBorders>
            <w:vAlign w:val="center"/>
          </w:tcPr>
          <w:p>
            <w:pPr>
              <w:keepNext/>
              <w:spacing w:line="360" w:lineRule="auto"/>
              <w:jc w:val="center"/>
              <w:rPr>
                <w:rFonts w:cs="宋体"/>
                <w:color w:val="auto"/>
                <w:szCs w:val="21"/>
              </w:rPr>
            </w:pPr>
          </w:p>
        </w:tc>
        <w:tc>
          <w:tcPr>
            <w:tcW w:w="739"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pPr>
              <w:keepNext/>
              <w:spacing w:line="360" w:lineRule="auto"/>
              <w:jc w:val="center"/>
              <w:rPr>
                <w:rFonts w:cs="宋体"/>
                <w:color w:val="auto"/>
                <w:szCs w:val="21"/>
              </w:rPr>
            </w:pPr>
          </w:p>
        </w:tc>
        <w:tc>
          <w:tcPr>
            <w:tcW w:w="641" w:type="pct"/>
            <w:tcBorders>
              <w:bottom w:val="single" w:color="auto" w:sz="12" w:space="0"/>
            </w:tcBorders>
            <w:vAlign w:val="center"/>
          </w:tcPr>
          <w:p>
            <w:pPr>
              <w:keepNext/>
              <w:spacing w:line="360" w:lineRule="auto"/>
              <w:jc w:val="center"/>
              <w:rPr>
                <w:rFonts w:cs="宋体"/>
                <w:color w:val="auto"/>
                <w:szCs w:val="21"/>
              </w:rPr>
            </w:pPr>
          </w:p>
        </w:tc>
        <w:tc>
          <w:tcPr>
            <w:tcW w:w="513" w:type="pct"/>
            <w:tcBorders>
              <w:bottom w:val="single" w:color="auto" w:sz="12" w:space="0"/>
            </w:tcBorders>
            <w:vAlign w:val="center"/>
          </w:tcPr>
          <w:p>
            <w:pPr>
              <w:keepNext/>
              <w:spacing w:line="360" w:lineRule="auto"/>
              <w:jc w:val="center"/>
              <w:rPr>
                <w:rFonts w:cs="宋体"/>
                <w:color w:val="auto"/>
                <w:szCs w:val="21"/>
              </w:rPr>
            </w:pPr>
          </w:p>
        </w:tc>
        <w:tc>
          <w:tcPr>
            <w:tcW w:w="373" w:type="pct"/>
            <w:tcBorders>
              <w:bottom w:val="single" w:color="auto" w:sz="12" w:space="0"/>
            </w:tcBorders>
            <w:vAlign w:val="center"/>
          </w:tcPr>
          <w:p>
            <w:pPr>
              <w:keepNext/>
              <w:spacing w:line="360" w:lineRule="auto"/>
              <w:jc w:val="center"/>
              <w:rPr>
                <w:rFonts w:cs="宋体"/>
                <w:color w:val="auto"/>
                <w:szCs w:val="21"/>
              </w:rPr>
            </w:pPr>
          </w:p>
        </w:tc>
        <w:tc>
          <w:tcPr>
            <w:tcW w:w="1889" w:type="pct"/>
            <w:tcBorders>
              <w:bottom w:val="single" w:color="auto" w:sz="12" w:space="0"/>
            </w:tcBorders>
            <w:vAlign w:val="center"/>
          </w:tcPr>
          <w:p>
            <w:pPr>
              <w:keepNext/>
              <w:spacing w:line="360" w:lineRule="auto"/>
              <w:jc w:val="center"/>
              <w:rPr>
                <w:rFonts w:cs="宋体"/>
                <w:color w:val="auto"/>
                <w:szCs w:val="21"/>
              </w:rPr>
            </w:pPr>
          </w:p>
        </w:tc>
        <w:tc>
          <w:tcPr>
            <w:tcW w:w="739"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54" w:name="_Toc128950243"/>
      <w:r>
        <w:rPr>
          <w:rFonts w:hint="eastAsia" w:ascii="Times New Roman" w:eastAsia="黑体"/>
          <w:color w:val="auto"/>
          <w:szCs w:val="24"/>
        </w:rPr>
        <w:t>附</w:t>
      </w:r>
      <w:bookmarkStart w:id="655" w:name="_Toc296347230"/>
      <w:bookmarkStart w:id="656" w:name="_Toc296346732"/>
      <w:bookmarkStart w:id="657" w:name="_Toc296891271"/>
      <w:bookmarkStart w:id="658" w:name="_Toc296944570"/>
      <w:bookmarkStart w:id="659" w:name="_Toc296891059"/>
      <w:bookmarkStart w:id="660" w:name="_Toc296503231"/>
      <w:r>
        <w:rPr>
          <w:rFonts w:hint="eastAsia" w:ascii="Times New Roman" w:eastAsia="黑体"/>
          <w:color w:val="auto"/>
          <w:szCs w:val="24"/>
        </w:rPr>
        <w:t>件</w:t>
      </w:r>
      <w:r>
        <w:rPr>
          <w:rFonts w:ascii="Times New Roman" w:eastAsia="黑体"/>
          <w:color w:val="auto"/>
          <w:szCs w:val="24"/>
        </w:rPr>
        <w:t>8</w:t>
      </w:r>
      <w:r>
        <w:rPr>
          <w:rFonts w:hint="eastAsia" w:ascii="Times New Roman" w:eastAsia="黑体"/>
          <w:color w:val="auto"/>
          <w:szCs w:val="24"/>
        </w:rPr>
        <w:t>：廉政协议</w:t>
      </w:r>
      <w:bookmarkEnd w:id="654"/>
    </w:p>
    <w:bookmarkEnd w:id="655"/>
    <w:bookmarkEnd w:id="656"/>
    <w:bookmarkEnd w:id="657"/>
    <w:bookmarkEnd w:id="658"/>
    <w:bookmarkEnd w:id="659"/>
    <w:bookmarkEnd w:id="660"/>
    <w:p>
      <w:pPr>
        <w:widowControl/>
        <w:spacing w:line="360" w:lineRule="auto"/>
        <w:ind w:firstLine="643"/>
        <w:jc w:val="center"/>
        <w:rPr>
          <w:rFonts w:cs="宋体"/>
          <w:b/>
          <w:bCs/>
          <w:color w:val="auto"/>
          <w:sz w:val="32"/>
          <w:szCs w:val="32"/>
        </w:rPr>
      </w:pPr>
      <w:r>
        <w:rPr>
          <w:rFonts w:hint="eastAsia" w:cs="宋体"/>
          <w:b/>
          <w:bCs/>
          <w:color w:val="auto"/>
          <w:sz w:val="32"/>
          <w:szCs w:val="32"/>
        </w:rPr>
        <w:t>廉政协议</w:t>
      </w:r>
    </w:p>
    <w:p>
      <w:pPr>
        <w:widowControl/>
        <w:spacing w:line="360" w:lineRule="auto"/>
        <w:ind w:firstLine="420" w:firstLineChars="200"/>
        <w:jc w:val="left"/>
        <w:rPr>
          <w:rFonts w:cs="宋体"/>
          <w:color w:val="auto"/>
          <w:sz w:val="21"/>
          <w:szCs w:val="21"/>
        </w:rPr>
      </w:pPr>
      <w:r>
        <w:rPr>
          <w:rFonts w:hint="eastAsia" w:cs="宋体"/>
          <w:color w:val="auto"/>
          <w:sz w:val="21"/>
          <w:szCs w:val="21"/>
        </w:rPr>
        <w:t>为促进双方诚信经营、廉洁从业，防范商业贿赂，保护国家、集体和当事人的合法权益，根据国家有关法律法规和安徽省廉政建设的规定，</w:t>
      </w:r>
      <w:r>
        <w:rPr>
          <w:rFonts w:hint="eastAsia" w:cs="宋体"/>
          <w:color w:val="auto"/>
          <w:sz w:val="21"/>
          <w:szCs w:val="21"/>
          <w:u w:val="single"/>
        </w:rPr>
        <w:t xml:space="preserve">     </w:t>
      </w:r>
      <w:r>
        <w:rPr>
          <w:rFonts w:hint="eastAsia" w:cs="宋体"/>
          <w:color w:val="auto"/>
          <w:sz w:val="21"/>
          <w:szCs w:val="21"/>
        </w:rPr>
        <w:t>（以下称甲方）与</w:t>
      </w:r>
      <w:r>
        <w:rPr>
          <w:rFonts w:hint="eastAsia" w:cs="宋体"/>
          <w:color w:val="auto"/>
          <w:sz w:val="21"/>
          <w:szCs w:val="21"/>
          <w:u w:val="single"/>
        </w:rPr>
        <w:t xml:space="preserve">             （</w:t>
      </w:r>
      <w:r>
        <w:rPr>
          <w:rFonts w:hint="eastAsia" w:cs="宋体"/>
          <w:color w:val="auto"/>
          <w:sz w:val="21"/>
          <w:szCs w:val="21"/>
        </w:rPr>
        <w:t>以下称乙方），特此订立本协议共同遵照执行。</w:t>
      </w:r>
    </w:p>
    <w:p>
      <w:pPr>
        <w:widowControl/>
        <w:spacing w:line="360" w:lineRule="auto"/>
        <w:ind w:firstLine="420" w:firstLineChars="200"/>
        <w:jc w:val="left"/>
        <w:rPr>
          <w:rFonts w:cs="宋体"/>
          <w:color w:val="auto"/>
          <w:sz w:val="21"/>
          <w:szCs w:val="21"/>
        </w:rPr>
      </w:pPr>
      <w:r>
        <w:rPr>
          <w:rFonts w:hint="eastAsia" w:cs="宋体"/>
          <w:color w:val="auto"/>
          <w:sz w:val="21"/>
          <w:szCs w:val="21"/>
        </w:rPr>
        <w:t>第一条 甲乙双方的权利和义务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widowControl/>
        <w:spacing w:line="360" w:lineRule="auto"/>
        <w:ind w:firstLine="420" w:firstLineChars="200"/>
        <w:jc w:val="left"/>
        <w:rPr>
          <w:rFonts w:cs="宋体"/>
          <w:color w:val="auto"/>
          <w:sz w:val="21"/>
          <w:szCs w:val="21"/>
        </w:rPr>
      </w:pPr>
      <w:r>
        <w:rPr>
          <w:rFonts w:hint="eastAsia" w:cs="宋体"/>
          <w:color w:val="auto"/>
          <w:sz w:val="21"/>
          <w:szCs w:val="21"/>
        </w:rPr>
        <w:t>（二）严格执行</w:t>
      </w:r>
      <w:r>
        <w:rPr>
          <w:rFonts w:hint="eastAsia" w:cs="宋体"/>
          <w:color w:val="auto"/>
          <w:sz w:val="21"/>
          <w:szCs w:val="21"/>
          <w:u w:val="single"/>
        </w:rPr>
        <w:t xml:space="preserve">                                </w:t>
      </w:r>
      <w:r>
        <w:rPr>
          <w:rFonts w:hint="eastAsia" w:cs="宋体"/>
          <w:color w:val="auto"/>
          <w:sz w:val="21"/>
          <w:szCs w:val="21"/>
        </w:rPr>
        <w:t>的合同要求，自觉履行合同约定的相关义务。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（三）在业务活动中坚持公开、公正、诚信、透明的原则，不得损害国家、集体利益。</w:t>
      </w:r>
    </w:p>
    <w:p>
      <w:pPr>
        <w:widowControl/>
        <w:spacing w:line="360" w:lineRule="auto"/>
        <w:ind w:firstLine="420" w:firstLineChars="200"/>
        <w:jc w:val="left"/>
        <w:rPr>
          <w:rFonts w:cs="宋体"/>
          <w:color w:val="auto"/>
          <w:sz w:val="21"/>
          <w:szCs w:val="21"/>
        </w:rPr>
      </w:pPr>
      <w:r>
        <w:rPr>
          <w:rFonts w:hint="eastAsia" w:cs="宋体"/>
          <w:color w:val="auto"/>
          <w:sz w:val="21"/>
          <w:szCs w:val="21"/>
        </w:rPr>
        <w:t>（四）建立健全廉政制度，开展廉政教育，公布举报电话，监督并认真查处违法违纪行为。</w:t>
      </w:r>
    </w:p>
    <w:p>
      <w:pPr>
        <w:widowControl/>
        <w:spacing w:line="360" w:lineRule="auto"/>
        <w:ind w:firstLine="420" w:firstLineChars="200"/>
        <w:jc w:val="left"/>
        <w:rPr>
          <w:rFonts w:cs="宋体"/>
          <w:color w:val="auto"/>
          <w:sz w:val="21"/>
          <w:szCs w:val="21"/>
        </w:rPr>
      </w:pPr>
      <w:r>
        <w:rPr>
          <w:rFonts w:hint="eastAsia" w:cs="宋体"/>
          <w:color w:val="auto"/>
          <w:sz w:val="21"/>
          <w:szCs w:val="21"/>
        </w:rPr>
        <w:t>（五）发现对方在业务活动中有违反廉政规定的行为，应及时提醒对方纠正。情节严重的，应向其上级有关部门举报、建议给予处理，并有权要求告知处理结果。</w:t>
      </w:r>
    </w:p>
    <w:p>
      <w:pPr>
        <w:widowControl/>
        <w:spacing w:line="360" w:lineRule="auto"/>
        <w:ind w:firstLine="420" w:firstLineChars="200"/>
        <w:jc w:val="left"/>
        <w:rPr>
          <w:rFonts w:cs="宋体"/>
          <w:color w:val="auto"/>
          <w:sz w:val="21"/>
          <w:szCs w:val="21"/>
        </w:rPr>
      </w:pPr>
      <w:r>
        <w:rPr>
          <w:rFonts w:hint="eastAsia" w:cs="宋体"/>
          <w:color w:val="auto"/>
          <w:sz w:val="21"/>
          <w:szCs w:val="21"/>
        </w:rPr>
        <w:t>第二条 甲方的义务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（一）甲方及其工作人员不得索要或接受乙方的礼金、有价证券和贵重物品，不得在乙方报销任何应由甲方单位或个人支付的费用等。</w:t>
      </w:r>
    </w:p>
    <w:p>
      <w:pPr>
        <w:widowControl/>
        <w:spacing w:line="360" w:lineRule="auto"/>
        <w:ind w:firstLine="420" w:firstLineChars="200"/>
        <w:jc w:val="left"/>
        <w:rPr>
          <w:rFonts w:cs="宋体"/>
          <w:color w:val="auto"/>
          <w:sz w:val="21"/>
          <w:szCs w:val="21"/>
        </w:rPr>
      </w:pPr>
      <w:r>
        <w:rPr>
          <w:rFonts w:hint="eastAsia" w:cs="宋体"/>
          <w:color w:val="auto"/>
          <w:sz w:val="21"/>
          <w:szCs w:val="21"/>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pPr>
        <w:widowControl/>
        <w:spacing w:line="360" w:lineRule="auto"/>
        <w:ind w:firstLine="420" w:firstLineChars="200"/>
        <w:jc w:val="left"/>
        <w:rPr>
          <w:rFonts w:cs="宋体"/>
          <w:color w:val="auto"/>
          <w:sz w:val="21"/>
          <w:szCs w:val="21"/>
        </w:rPr>
      </w:pPr>
      <w:r>
        <w:rPr>
          <w:rFonts w:hint="eastAsia" w:cs="宋体"/>
          <w:color w:val="auto"/>
          <w:sz w:val="21"/>
          <w:szCs w:val="21"/>
        </w:rPr>
        <w:t>（三） 甲方及其工作人员不得要求或者接受乙方为其住房装修、婚丧嫁娶活动、配偶子女工作安排以及出国出境、旅游等提供方便等。</w:t>
      </w:r>
    </w:p>
    <w:p>
      <w:pPr>
        <w:widowControl/>
        <w:spacing w:line="360" w:lineRule="auto"/>
        <w:ind w:firstLine="420" w:firstLineChars="200"/>
        <w:jc w:val="left"/>
        <w:rPr>
          <w:rFonts w:cs="宋体"/>
          <w:color w:val="auto"/>
          <w:sz w:val="21"/>
          <w:szCs w:val="21"/>
        </w:rPr>
      </w:pPr>
      <w:r>
        <w:rPr>
          <w:rFonts w:hint="eastAsia" w:cs="宋体"/>
          <w:color w:val="auto"/>
          <w:sz w:val="21"/>
          <w:szCs w:val="21"/>
        </w:rPr>
        <w:t>（四） 甲方工作人员不得在乙方有股权关联的企业兼职，不得向乙方介绍家属或者亲友从事与甲方业务有关的经济活动。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（五）甲方工作人员不得以明显低于市场的价格向乙方购买房屋、汽车等物品；不得以明显高于市场的价格向乙方出售房屋、汽车等物品；不得以其他交易形式非法收受请托人财物。</w:t>
      </w:r>
    </w:p>
    <w:p>
      <w:pPr>
        <w:widowControl/>
        <w:spacing w:line="360" w:lineRule="auto"/>
        <w:ind w:firstLine="420" w:firstLineChars="200"/>
        <w:jc w:val="left"/>
        <w:rPr>
          <w:rFonts w:cs="宋体"/>
          <w:color w:val="auto"/>
          <w:sz w:val="21"/>
          <w:szCs w:val="21"/>
        </w:rPr>
      </w:pPr>
      <w:r>
        <w:rPr>
          <w:rFonts w:hint="eastAsia" w:cs="宋体"/>
          <w:color w:val="auto"/>
          <w:sz w:val="21"/>
          <w:szCs w:val="21"/>
        </w:rPr>
        <w:t>（六）甲方工作人员不得利用职务之便收受乙方以回扣、手续费、加班费、咨询费、劳务费、协调费、辛苦费等各种名义给予或赠送的钱物。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（七）甲方工作人员不得接受乙方给予或赠送的干股或红利。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（八）甲方任何人不得以个人的名义向乙方推荐设备、部件等供货商以及其他合作单位。</w:t>
      </w:r>
    </w:p>
    <w:p>
      <w:pPr>
        <w:widowControl/>
        <w:spacing w:line="360" w:lineRule="auto"/>
        <w:ind w:firstLine="420" w:firstLineChars="200"/>
        <w:jc w:val="left"/>
        <w:rPr>
          <w:rFonts w:cs="宋体"/>
          <w:color w:val="auto"/>
          <w:sz w:val="21"/>
          <w:szCs w:val="21"/>
        </w:rPr>
      </w:pPr>
      <w:r>
        <w:rPr>
          <w:rFonts w:hint="eastAsia" w:cs="宋体"/>
          <w:color w:val="auto"/>
          <w:sz w:val="21"/>
          <w:szCs w:val="21"/>
        </w:rPr>
        <w:t>第三条 乙方的义务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（一）乙方不得以任何理由向甲方及其工作人员行贿或馈赠礼金、有价证券、贵重礼品。</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（二）乙方不得以任何名义为甲方及其工作人员报销应由甲方单位或个人支付的任何费用。</w:t>
      </w:r>
    </w:p>
    <w:p>
      <w:pPr>
        <w:widowControl/>
        <w:spacing w:line="360" w:lineRule="auto"/>
        <w:ind w:firstLine="420" w:firstLineChars="200"/>
        <w:jc w:val="left"/>
        <w:rPr>
          <w:rFonts w:cs="宋体"/>
          <w:color w:val="auto"/>
          <w:sz w:val="21"/>
          <w:szCs w:val="21"/>
        </w:rPr>
      </w:pPr>
      <w:r>
        <w:rPr>
          <w:rFonts w:hint="eastAsia" w:cs="宋体"/>
          <w:color w:val="auto"/>
          <w:sz w:val="21"/>
          <w:szCs w:val="21"/>
        </w:rPr>
        <w:t>（三）乙方不得以任何理由安排甲方工作人员参加可能影响相关业务公开、公正、公平性的宴请及娱乐活动。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（四）乙方不得为甲方单位和个人购置或提供通讯工具和高档办公用品等物品，也不得为甲方提供与工作无关的房屋、汽车等。</w:t>
      </w:r>
    </w:p>
    <w:p>
      <w:pPr>
        <w:widowControl/>
        <w:spacing w:line="360" w:lineRule="auto"/>
        <w:ind w:firstLine="420" w:firstLineChars="200"/>
        <w:jc w:val="left"/>
        <w:rPr>
          <w:rFonts w:cs="宋体"/>
          <w:color w:val="auto"/>
          <w:sz w:val="21"/>
          <w:szCs w:val="21"/>
        </w:rPr>
      </w:pPr>
      <w:r>
        <w:rPr>
          <w:rFonts w:hint="eastAsia" w:cs="宋体"/>
          <w:color w:val="auto"/>
          <w:sz w:val="21"/>
          <w:szCs w:val="21"/>
        </w:rPr>
        <w:t>（五）乙方不得与甲方工作人员就合同中的质量、数量、价格、工程量、验收等条款进行私下商谈或者达成默契。</w:t>
      </w:r>
    </w:p>
    <w:p>
      <w:pPr>
        <w:widowControl/>
        <w:spacing w:line="360" w:lineRule="auto"/>
        <w:ind w:firstLine="420" w:firstLineChars="200"/>
        <w:jc w:val="left"/>
        <w:rPr>
          <w:rFonts w:cs="宋体"/>
          <w:color w:val="auto"/>
          <w:sz w:val="21"/>
          <w:szCs w:val="21"/>
        </w:rPr>
      </w:pPr>
      <w:r>
        <w:rPr>
          <w:rFonts w:hint="eastAsia" w:cs="宋体"/>
          <w:color w:val="auto"/>
          <w:sz w:val="21"/>
          <w:szCs w:val="21"/>
        </w:rPr>
        <w:t>（六）乙方不得以回扣、手续费、加班费、咨询费、劳务费、协调费、辛苦费等各种名义向甲方工作人员给予或赠送钱物。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（七）乙方不得向甲方工作人员提供干股或红利。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（八）乙方须按</w:t>
      </w:r>
      <w:r>
        <w:rPr>
          <w:rFonts w:hint="eastAsia" w:cs="宋体"/>
          <w:color w:val="auto"/>
          <w:sz w:val="21"/>
          <w:szCs w:val="21"/>
          <w:u w:val="single"/>
        </w:rPr>
        <w:t xml:space="preserve">         </w:t>
      </w:r>
      <w:r>
        <w:rPr>
          <w:rFonts w:hint="eastAsia" w:cs="宋体"/>
          <w:color w:val="auto"/>
          <w:sz w:val="21"/>
          <w:szCs w:val="21"/>
        </w:rPr>
        <w:t>专项纪检监察工作组（如有）要求开展相关工作。</w:t>
      </w:r>
    </w:p>
    <w:p>
      <w:pPr>
        <w:widowControl/>
        <w:spacing w:line="360" w:lineRule="auto"/>
        <w:ind w:firstLine="420" w:firstLineChars="200"/>
        <w:jc w:val="left"/>
        <w:rPr>
          <w:rFonts w:cs="宋体"/>
          <w:color w:val="auto"/>
          <w:sz w:val="21"/>
          <w:szCs w:val="21"/>
        </w:rPr>
      </w:pPr>
      <w:r>
        <w:rPr>
          <w:rFonts w:hint="eastAsia" w:cs="宋体"/>
          <w:color w:val="auto"/>
          <w:sz w:val="21"/>
          <w:szCs w:val="21"/>
        </w:rPr>
        <w:t>第四条 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方及其工作人员违反本协议第一、二条规定。甲方按管理权限，对相关责任人依据有关规定给予党纪、政纪处分或组织处理；涉嫌犯罪的，移交司法机关追究刑事责任；给乙方单位造成经济损失的，应予以赔偿。</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甲方投诉联系部门：</w:t>
      </w:r>
      <w:r>
        <w:rPr>
          <w:rFonts w:hint="eastAsia" w:cs="宋体"/>
          <w:color w:val="auto"/>
          <w:sz w:val="21"/>
          <w:szCs w:val="21"/>
          <w:u w:val="single"/>
        </w:rPr>
        <w:t xml:space="preserve">           </w:t>
      </w: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（二）乙方及其工作人员违反本协议第一、三条规定。根据具体情节和造成的后果，甲方有权对乙方采取以下一种或多种处理办法：</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1. 全额收取乙方合同履约保证金不予退还； </w:t>
      </w:r>
    </w:p>
    <w:p>
      <w:pPr>
        <w:widowControl/>
        <w:spacing w:line="360" w:lineRule="auto"/>
        <w:ind w:firstLine="420" w:firstLineChars="200"/>
        <w:jc w:val="left"/>
        <w:rPr>
          <w:rFonts w:cs="宋体"/>
          <w:color w:val="auto"/>
          <w:sz w:val="21"/>
          <w:szCs w:val="21"/>
        </w:rPr>
      </w:pPr>
      <w:r>
        <w:rPr>
          <w:rFonts w:hint="eastAsia" w:cs="宋体"/>
          <w:color w:val="auto"/>
          <w:sz w:val="21"/>
          <w:szCs w:val="21"/>
        </w:rPr>
        <w:t>2. 追究乙方其他违约责任；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3. 终止或解除双方已签订的包括本合同在内的所有合同；</w:t>
      </w:r>
    </w:p>
    <w:p>
      <w:pPr>
        <w:widowControl/>
        <w:spacing w:line="360" w:lineRule="auto"/>
        <w:ind w:firstLine="420" w:firstLineChars="200"/>
        <w:jc w:val="left"/>
        <w:rPr>
          <w:rFonts w:cs="宋体"/>
          <w:color w:val="auto"/>
          <w:sz w:val="21"/>
          <w:szCs w:val="21"/>
        </w:rPr>
      </w:pPr>
      <w:r>
        <w:rPr>
          <w:rFonts w:hint="eastAsia" w:cs="宋体"/>
          <w:color w:val="auto"/>
          <w:sz w:val="21"/>
          <w:szCs w:val="21"/>
        </w:rPr>
        <w:t>4. 乙方一定期限内（6个月至3年，具体由甲方根据情况而定）不得参与甲方作为发包人（业主）的工程项目投标。</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甲方作出的处理意见，乙方应无条件接受并承担给甲方造成的损失，全额返还通过不正当手段从甲方获取的非法所得，并承担相应的法律责任。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第五条 双方约定</w:t>
      </w:r>
    </w:p>
    <w:p>
      <w:pPr>
        <w:widowControl/>
        <w:spacing w:line="360" w:lineRule="auto"/>
        <w:ind w:firstLine="420" w:firstLineChars="200"/>
        <w:jc w:val="left"/>
        <w:rPr>
          <w:rFonts w:cs="宋体"/>
          <w:color w:val="auto"/>
          <w:sz w:val="21"/>
          <w:szCs w:val="21"/>
        </w:rPr>
      </w:pPr>
      <w:r>
        <w:rPr>
          <w:rFonts w:hint="eastAsia" w:cs="宋体"/>
          <w:color w:val="auto"/>
          <w:sz w:val="21"/>
          <w:szCs w:val="21"/>
        </w:rPr>
        <w:t>本协议由双方或双方上级单位负责监督。可由甲方或甲方上级单位的纪检监察部门约请乙方或乙方上级单位的纪检监察部门对本协议履行情况进行检查，提出在本协议规定范围内的裁定意见。</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第六条  本协议有效期为甲乙双方签署之日起至合同终止。  </w:t>
      </w:r>
    </w:p>
    <w:p>
      <w:pPr>
        <w:widowControl/>
        <w:spacing w:line="360" w:lineRule="auto"/>
        <w:ind w:firstLine="420" w:firstLineChars="200"/>
        <w:jc w:val="left"/>
        <w:rPr>
          <w:rFonts w:cs="宋体"/>
          <w:color w:val="auto"/>
          <w:sz w:val="21"/>
          <w:szCs w:val="21"/>
        </w:rPr>
      </w:pPr>
      <w:r>
        <w:rPr>
          <w:rFonts w:hint="eastAsia" w:cs="宋体"/>
          <w:color w:val="auto"/>
          <w:sz w:val="21"/>
          <w:szCs w:val="21"/>
        </w:rPr>
        <w:t>第七条  本协议作为合同的附件，与本合同具有同等法律效力。</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甲方（盖章）： </w:t>
      </w:r>
      <w:r>
        <w:rPr>
          <w:rFonts w:hint="eastAsia" w:cs="宋体"/>
          <w:color w:val="auto"/>
          <w:sz w:val="21"/>
          <w:szCs w:val="21"/>
          <w:u w:val="single"/>
        </w:rPr>
        <w:t xml:space="preserve">                  </w:t>
      </w:r>
      <w:r>
        <w:rPr>
          <w:rFonts w:hint="eastAsia" w:cs="宋体"/>
          <w:color w:val="auto"/>
          <w:sz w:val="21"/>
          <w:szCs w:val="21"/>
        </w:rPr>
        <w:t xml:space="preserve">     乙方（盖章）：</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法定代表人或                          法定代表人或</w:t>
      </w:r>
    </w:p>
    <w:p>
      <w:pPr>
        <w:widowControl/>
        <w:spacing w:line="360" w:lineRule="auto"/>
        <w:ind w:firstLine="420" w:firstLineChars="200"/>
        <w:jc w:val="left"/>
        <w:rPr>
          <w:rFonts w:cs="宋体"/>
          <w:color w:val="auto"/>
          <w:sz w:val="21"/>
          <w:szCs w:val="21"/>
        </w:rPr>
      </w:pPr>
      <w:r>
        <w:rPr>
          <w:rFonts w:hint="eastAsia" w:cs="宋体"/>
          <w:color w:val="auto"/>
          <w:sz w:val="21"/>
          <w:szCs w:val="21"/>
        </w:rPr>
        <w:t>授权代表：</w:t>
      </w:r>
      <w:r>
        <w:rPr>
          <w:rFonts w:hint="eastAsia" w:cs="宋体"/>
          <w:color w:val="auto"/>
          <w:sz w:val="21"/>
          <w:szCs w:val="21"/>
          <w:u w:val="single"/>
        </w:rPr>
        <w:t xml:space="preserve">              </w:t>
      </w:r>
      <w:r>
        <w:rPr>
          <w:rFonts w:hint="eastAsia" w:cs="宋体"/>
          <w:color w:val="auto"/>
          <w:sz w:val="21"/>
          <w:szCs w:val="21"/>
        </w:rPr>
        <w:t>(职务)         授权代表：</w:t>
      </w:r>
      <w:r>
        <w:rPr>
          <w:rFonts w:hint="eastAsia" w:cs="宋体"/>
          <w:color w:val="auto"/>
          <w:sz w:val="21"/>
          <w:szCs w:val="21"/>
          <w:u w:val="single"/>
        </w:rPr>
        <w:t xml:space="preserve">             </w:t>
      </w:r>
      <w:r>
        <w:rPr>
          <w:rFonts w:hint="eastAsia" w:cs="宋体"/>
          <w:color w:val="auto"/>
          <w:sz w:val="21"/>
          <w:szCs w:val="21"/>
        </w:rPr>
        <w:t>(职务)</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p>
    <w:p>
      <w:pPr>
        <w:widowControl/>
        <w:spacing w:line="360" w:lineRule="auto"/>
        <w:ind w:firstLine="420" w:firstLineChars="200"/>
        <w:jc w:val="left"/>
        <w:rPr>
          <w:rFonts w:cs="宋体"/>
          <w:color w:val="auto"/>
          <w:sz w:val="21"/>
          <w:szCs w:val="21"/>
        </w:rPr>
      </w:pPr>
      <w:r>
        <w:rPr>
          <w:rFonts w:hint="eastAsia" w:cs="宋体"/>
          <w:color w:val="auto"/>
          <w:sz w:val="21"/>
          <w:szCs w:val="21"/>
        </w:rPr>
        <w:t>廉政监督联系人                        廉政监督联系人</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电话：</w:t>
      </w:r>
      <w:r>
        <w:rPr>
          <w:rFonts w:hint="eastAsia" w:cs="宋体"/>
          <w:color w:val="auto"/>
          <w:sz w:val="21"/>
          <w:szCs w:val="21"/>
          <w:u w:val="single"/>
        </w:rPr>
        <w:t xml:space="preserve">                       </w:t>
      </w:r>
      <w:r>
        <w:rPr>
          <w:rFonts w:hint="eastAsia" w:cs="宋体"/>
          <w:color w:val="auto"/>
          <w:sz w:val="21"/>
          <w:szCs w:val="21"/>
        </w:rPr>
        <w:t xml:space="preserve">         电话：</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地址：</w:t>
      </w:r>
      <w:r>
        <w:rPr>
          <w:rFonts w:hint="eastAsia" w:cs="宋体"/>
          <w:color w:val="auto"/>
          <w:sz w:val="21"/>
          <w:szCs w:val="21"/>
          <w:u w:val="single"/>
        </w:rPr>
        <w:t xml:space="preserve">                       </w:t>
      </w:r>
      <w:r>
        <w:rPr>
          <w:rFonts w:hint="eastAsia" w:cs="宋体"/>
          <w:color w:val="auto"/>
          <w:sz w:val="21"/>
          <w:szCs w:val="21"/>
        </w:rPr>
        <w:t xml:space="preserve">         地址：</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日期：</w:t>
      </w:r>
      <w:r>
        <w:rPr>
          <w:rFonts w:hint="eastAsia" w:cs="宋体"/>
          <w:color w:val="auto"/>
          <w:sz w:val="21"/>
          <w:szCs w:val="21"/>
          <w:u w:val="single"/>
        </w:rPr>
        <w:t xml:space="preserve">                       </w:t>
      </w:r>
      <w:r>
        <w:rPr>
          <w:rFonts w:hint="eastAsia" w:cs="宋体"/>
          <w:color w:val="auto"/>
          <w:sz w:val="21"/>
          <w:szCs w:val="21"/>
        </w:rPr>
        <w:t xml:space="preserve">         日期：</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hint="eastAsia" w:ascii="Times New Roman" w:eastAsia="黑体"/>
          <w:bCs/>
          <w:color w:val="auto"/>
          <w:szCs w:val="21"/>
        </w:rPr>
        <w:br w:type="page"/>
      </w:r>
      <w:bookmarkStart w:id="661" w:name="_Toc128950244"/>
      <w:r>
        <w:rPr>
          <w:rFonts w:hint="eastAsia" w:ascii="Times New Roman" w:eastAsia="黑体"/>
          <w:color w:val="auto"/>
          <w:szCs w:val="24"/>
        </w:rPr>
        <w:t>附件9：履约保证金</w:t>
      </w:r>
      <w:bookmarkEnd w:id="661"/>
    </w:p>
    <w:p>
      <w:pPr>
        <w:spacing w:line="360" w:lineRule="auto"/>
        <w:jc w:val="center"/>
        <w:rPr>
          <w:rFonts w:cs="宋体"/>
          <w:b/>
          <w:bCs/>
          <w:color w:val="auto"/>
          <w:sz w:val="32"/>
          <w:szCs w:val="32"/>
        </w:rPr>
      </w:pPr>
      <w:r>
        <w:rPr>
          <w:rFonts w:hint="eastAsia" w:cs="宋体"/>
          <w:b/>
          <w:bCs/>
          <w:color w:val="auto"/>
          <w:sz w:val="32"/>
          <w:szCs w:val="32"/>
        </w:rPr>
        <w:t>履约保函示范文本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一、本保函担保范围：承包人未按照基础合同的约定履行义务，应当向受益人承担的违约责任和赔偿因此造成的损失、利息、律师费、诉讼费用等实现债权的费用。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 xml:space="preserve">三、本保函有效期自开立之日起至基础合同约定的缺陷责任期满之日止。 </w:t>
      </w:r>
    </w:p>
    <w:p>
      <w:pPr>
        <w:spacing w:line="360" w:lineRule="auto"/>
        <w:ind w:firstLine="480"/>
        <w:rPr>
          <w:rFonts w:cs="宋体"/>
          <w:color w:val="auto"/>
          <w:sz w:val="21"/>
          <w:szCs w:val="21"/>
        </w:rPr>
      </w:pPr>
      <w:bookmarkStart w:id="662" w:name="_Hlk40302764"/>
      <w:r>
        <w:rPr>
          <w:rFonts w:hint="eastAsia" w:cs="宋体"/>
          <w:color w:val="auto"/>
          <w:sz w:val="21"/>
          <w:szCs w:val="21"/>
        </w:rPr>
        <w:t>四、开立人承诺，在收到受益人发来的书面付款通知后的七日内无条件支付，前述书面付款通知即为付款要求之单据，且应满足以下要求：</w:t>
      </w:r>
    </w:p>
    <w:bookmarkEnd w:id="662"/>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360" w:lineRule="auto"/>
        <w:ind w:firstLine="420" w:firstLineChars="200"/>
        <w:rPr>
          <w:rFonts w:cs="宋体"/>
          <w:color w:val="auto"/>
          <w:sz w:val="21"/>
          <w:szCs w:val="21"/>
        </w:rPr>
      </w:pPr>
      <w:bookmarkStart w:id="663" w:name="_Hlk40303486"/>
      <w:r>
        <w:rPr>
          <w:rFonts w:hint="eastAsia" w:cs="宋体"/>
          <w:color w:val="auto"/>
          <w:sz w:val="21"/>
          <w:szCs w:val="21"/>
        </w:rPr>
        <w:t>受益人发出的书面付款通知应由其法定代表人（负责人）或授权代理人签字并加盖公章。</w:t>
      </w:r>
      <w:bookmarkEnd w:id="663"/>
    </w:p>
    <w:p>
      <w:pPr>
        <w:spacing w:line="360" w:lineRule="auto"/>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五、本保函项下的权利不得转让，不得设定担保。受益人未经我方书面同意转 让本保函或其项下任何权利，对我方不发生法律效力。 </w:t>
      </w:r>
    </w:p>
    <w:p>
      <w:pPr>
        <w:spacing w:line="360" w:lineRule="auto"/>
        <w:ind w:firstLine="420" w:firstLineChars="200"/>
        <w:rPr>
          <w:rFonts w:cs="宋体"/>
          <w:color w:val="auto"/>
          <w:sz w:val="21"/>
          <w:szCs w:val="21"/>
        </w:rPr>
      </w:pPr>
      <w:r>
        <w:rPr>
          <w:rFonts w:hint="eastAsia" w:cs="宋体"/>
          <w:color w:val="auto"/>
          <w:sz w:val="21"/>
          <w:szCs w:val="21"/>
        </w:rPr>
        <w:t xml:space="preserve">六、与本保函有关的基础合同不成立、不生效、无效、被撤销、被解除，不影响本保函的独立有效。 </w:t>
      </w:r>
    </w:p>
    <w:p>
      <w:pPr>
        <w:spacing w:line="360" w:lineRule="auto"/>
        <w:ind w:firstLine="420" w:firstLineChars="200"/>
        <w:rPr>
          <w:rFonts w:cs="宋体"/>
          <w:color w:val="auto"/>
          <w:sz w:val="21"/>
          <w:szCs w:val="21"/>
        </w:rPr>
      </w:pPr>
      <w:bookmarkStart w:id="664" w:name="_Hlk40303383"/>
      <w:bookmarkStart w:id="665" w:name="_Hlk40354981"/>
      <w:r>
        <w:rPr>
          <w:rFonts w:hint="eastAsia" w:cs="宋体"/>
          <w:color w:val="auto"/>
          <w:sz w:val="21"/>
          <w:szCs w:val="21"/>
        </w:rPr>
        <w:t xml:space="preserve">七、本保函项下的义务和责任均在保函有效期到期后自动消灭。 </w:t>
      </w:r>
    </w:p>
    <w:p>
      <w:pPr>
        <w:spacing w:line="360" w:lineRule="auto"/>
        <w:ind w:firstLine="420" w:firstLineChars="200"/>
        <w:rPr>
          <w:rFonts w:cs="宋体"/>
          <w:color w:val="auto"/>
          <w:sz w:val="21"/>
          <w:szCs w:val="21"/>
        </w:rPr>
      </w:pPr>
      <w:r>
        <w:rPr>
          <w:rFonts w:hint="eastAsia" w:cs="宋体"/>
          <w:color w:val="auto"/>
          <w:sz w:val="21"/>
          <w:szCs w:val="21"/>
        </w:rPr>
        <w:t>八、本保函适用的法律为中华人民共和国法律，因本保函产生的纠纷案件，</w:t>
      </w:r>
      <w:bookmarkEnd w:id="664"/>
      <w:r>
        <w:rPr>
          <w:rFonts w:hint="eastAsia" w:cs="宋体"/>
          <w:color w:val="auto"/>
          <w:sz w:val="21"/>
          <w:szCs w:val="21"/>
        </w:rPr>
        <w:t xml:space="preserve">由受益人所在地人民法院管辖。 </w:t>
      </w:r>
    </w:p>
    <w:bookmarkEnd w:id="665"/>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66" w:name="_Toc128950245"/>
      <w:r>
        <w:rPr>
          <w:rFonts w:hint="eastAsia" w:ascii="Times New Roman" w:eastAsia="黑体"/>
          <w:color w:val="auto"/>
          <w:szCs w:val="24"/>
        </w:rPr>
        <w:t>附</w:t>
      </w:r>
      <w:bookmarkStart w:id="667" w:name="_Toc296503232"/>
      <w:bookmarkStart w:id="668" w:name="_Toc296944571"/>
      <w:bookmarkStart w:id="669" w:name="_Toc296891272"/>
      <w:bookmarkStart w:id="670" w:name="_Toc296346733"/>
      <w:bookmarkStart w:id="671" w:name="_Toc296891060"/>
      <w:bookmarkStart w:id="672" w:name="_Toc296347231"/>
      <w:bookmarkStart w:id="673" w:name="_Toc267261702"/>
      <w:r>
        <w:rPr>
          <w:rFonts w:hint="eastAsia" w:ascii="Times New Roman" w:eastAsia="黑体"/>
          <w:color w:val="auto"/>
          <w:szCs w:val="24"/>
        </w:rPr>
        <w:t>件10：预付款担保</w:t>
      </w:r>
      <w:bookmarkEnd w:id="666"/>
    </w:p>
    <w:bookmarkEnd w:id="667"/>
    <w:bookmarkEnd w:id="668"/>
    <w:bookmarkEnd w:id="669"/>
    <w:bookmarkEnd w:id="670"/>
    <w:bookmarkEnd w:id="671"/>
    <w:bookmarkEnd w:id="672"/>
    <w:bookmarkEnd w:id="673"/>
    <w:p>
      <w:pPr>
        <w:spacing w:line="360" w:lineRule="auto"/>
        <w:jc w:val="center"/>
        <w:rPr>
          <w:rFonts w:cs="宋体"/>
          <w:b/>
          <w:bCs/>
          <w:color w:val="auto"/>
          <w:sz w:val="32"/>
          <w:szCs w:val="32"/>
        </w:rPr>
      </w:pPr>
      <w:r>
        <w:rPr>
          <w:rFonts w:hint="eastAsia" w:cs="宋体"/>
          <w:b/>
          <w:bCs/>
          <w:color w:val="auto"/>
          <w:sz w:val="32"/>
          <w:szCs w:val="32"/>
        </w:rPr>
        <w:t>预付款保函示范文本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一、本保函担保范围：申请人未按照合同约定正确和合理地为合同目的使用预付款，应当向受益人承担的违约责任和赔偿因此造成的损失、利息、律师费、诉讼费用等实现债权的费用。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三、本保函有效期自开立之日起至发包人全额扣回预付款之日止。</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八、本保函适用的法律为中华人民共和国法律，因本保函产生的纠纷案件，由受益人所在地人民法院管辖。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74" w:name="_Toc128950246"/>
      <w:r>
        <w:rPr>
          <w:rFonts w:hint="eastAsia" w:ascii="Times New Roman" w:eastAsia="黑体"/>
          <w:color w:val="auto"/>
          <w:szCs w:val="24"/>
        </w:rPr>
        <w:t>附</w:t>
      </w:r>
      <w:bookmarkStart w:id="675" w:name="_Toc296891273"/>
      <w:bookmarkStart w:id="676" w:name="_Toc296347232"/>
      <w:bookmarkStart w:id="677" w:name="_Toc296503233"/>
      <w:bookmarkStart w:id="678" w:name="_Toc296944572"/>
      <w:bookmarkStart w:id="679" w:name="_Toc296346734"/>
      <w:bookmarkStart w:id="680" w:name="_Toc296891061"/>
      <w:r>
        <w:rPr>
          <w:rFonts w:hint="eastAsia" w:ascii="Times New Roman" w:eastAsia="黑体"/>
          <w:color w:val="auto"/>
          <w:szCs w:val="24"/>
        </w:rPr>
        <w:t>件</w:t>
      </w:r>
      <w:r>
        <w:rPr>
          <w:rFonts w:ascii="Times New Roman" w:eastAsia="黑体"/>
          <w:color w:val="auto"/>
          <w:szCs w:val="24"/>
        </w:rPr>
        <w:t>1</w:t>
      </w:r>
      <w:r>
        <w:rPr>
          <w:rFonts w:hint="eastAsia" w:ascii="Times New Roman" w:eastAsia="黑体"/>
          <w:color w:val="auto"/>
          <w:szCs w:val="24"/>
        </w:rPr>
        <w:t>1：支付担保</w:t>
      </w:r>
      <w:bookmarkEnd w:id="674"/>
      <w:bookmarkEnd w:id="675"/>
      <w:bookmarkEnd w:id="676"/>
      <w:bookmarkEnd w:id="677"/>
      <w:bookmarkEnd w:id="678"/>
      <w:bookmarkEnd w:id="679"/>
      <w:bookmarkEnd w:id="680"/>
    </w:p>
    <w:p>
      <w:pPr>
        <w:spacing w:line="360" w:lineRule="auto"/>
        <w:jc w:val="center"/>
        <w:rPr>
          <w:rFonts w:cs="宋体"/>
          <w:b/>
          <w:bCs/>
          <w:color w:val="auto"/>
          <w:sz w:val="32"/>
          <w:szCs w:val="32"/>
        </w:rPr>
      </w:pPr>
      <w:r>
        <w:rPr>
          <w:rFonts w:hint="eastAsia" w:cs="宋体"/>
          <w:b/>
          <w:bCs/>
          <w:color w:val="auto"/>
          <w:sz w:val="32"/>
          <w:szCs w:val="32"/>
        </w:rPr>
        <w:t>支付保函示范文本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bookmarkStart w:id="681" w:name="_Hlk40355074"/>
      <w:r>
        <w:rPr>
          <w:rFonts w:hint="eastAsia" w:cs="宋体"/>
          <w:color w:val="auto"/>
          <w:sz w:val="21"/>
          <w:szCs w:val="21"/>
          <w:u w:val="single"/>
        </w:rPr>
        <w:t xml:space="preserve">              </w:t>
      </w:r>
      <w:r>
        <w:rPr>
          <w:rFonts w:hint="eastAsia" w:cs="宋体"/>
          <w:color w:val="auto"/>
          <w:sz w:val="21"/>
          <w:szCs w:val="21"/>
        </w:rPr>
        <w:t xml:space="preserve">（受益人名称）： </w:t>
      </w:r>
    </w:p>
    <w:bookmarkEnd w:id="681"/>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一、本保函担保范围：申请人未履行基础合同约定的工程款支付义务，应当向受益人承担的违约责任和赔偿因此造成的损失、利息、律师费、诉讼费用等实现债权的费用。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三、本保函有效期自开立之日起至基础合同约定的除工程质量保修金以外的全部工程结算款项支付之日后</w:t>
      </w:r>
      <w:r>
        <w:rPr>
          <w:rFonts w:hint="eastAsia" w:cs="宋体"/>
          <w:color w:val="auto"/>
          <w:sz w:val="21"/>
          <w:szCs w:val="21"/>
          <w:u w:val="single"/>
        </w:rPr>
        <w:t xml:space="preserve">    </w:t>
      </w:r>
      <w:r>
        <w:rPr>
          <w:rFonts w:hint="eastAsia" w:cs="宋体"/>
          <w:color w:val="auto"/>
          <w:sz w:val="21"/>
          <w:szCs w:val="21"/>
        </w:rPr>
        <w:t xml:space="preserve">日止。 </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八、本保函适用的法律为中华人民共和国法律，因本保函产生的纠纷案件，由申请人所在地人民法院管辖。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82" w:name="_Toc128950247"/>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2：暂估价一览表</w:t>
      </w:r>
      <w:bookmarkEnd w:id="682"/>
    </w:p>
    <w:p>
      <w:pPr>
        <w:spacing w:before="156" w:beforeLines="50" w:after="156" w:afterLines="50" w:line="440" w:lineRule="exact"/>
        <w:jc w:val="center"/>
        <w:rPr>
          <w:rFonts w:cs="宋体"/>
          <w:color w:val="auto"/>
          <w:szCs w:val="21"/>
        </w:rPr>
      </w:pPr>
      <w:r>
        <w:rPr>
          <w:rFonts w:hint="eastAsia" w:cs="宋体"/>
          <w:color w:val="auto"/>
          <w:szCs w:val="21"/>
        </w:rPr>
        <w:t>12-1：材料暂估价表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12-2：工程设备暂估价表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12-3：专业工程暂估价表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rPr>
          <w:rFonts w:cs="宋体"/>
          <w:color w:val="auto"/>
          <w:szCs w:val="21"/>
        </w:rPr>
      </w:pPr>
    </w:p>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83" w:name="_Toc128950248"/>
      <w:r>
        <w:rPr>
          <w:rFonts w:hint="eastAsia" w:ascii="Times New Roman" w:eastAsia="黑体"/>
          <w:color w:val="auto"/>
          <w:szCs w:val="24"/>
        </w:rPr>
        <w:t>附件13：安全生产合同</w:t>
      </w:r>
      <w:bookmarkEnd w:id="683"/>
    </w:p>
    <w:p>
      <w:pPr>
        <w:spacing w:before="156" w:beforeLines="50" w:after="156" w:afterLines="50" w:line="360" w:lineRule="auto"/>
        <w:jc w:val="center"/>
        <w:rPr>
          <w:rFonts w:cs="宋体"/>
          <w:b/>
          <w:color w:val="auto"/>
          <w:sz w:val="32"/>
          <w:szCs w:val="32"/>
        </w:rPr>
      </w:pPr>
      <w:bookmarkStart w:id="684" w:name="_Toc23792"/>
      <w:bookmarkStart w:id="685" w:name="_Toc11475"/>
      <w:r>
        <w:rPr>
          <w:rFonts w:hint="eastAsia" w:cs="宋体"/>
          <w:b/>
          <w:color w:val="auto"/>
          <w:sz w:val="32"/>
          <w:szCs w:val="32"/>
        </w:rPr>
        <w:t>安全生产合同</w:t>
      </w:r>
      <w:bookmarkEnd w:id="684"/>
      <w:bookmarkEnd w:id="685"/>
    </w:p>
    <w:p>
      <w:pPr>
        <w:spacing w:line="360" w:lineRule="auto"/>
        <w:ind w:firstLine="420" w:firstLineChars="200"/>
        <w:rPr>
          <w:rFonts w:cs="宋体"/>
          <w:color w:val="auto"/>
          <w:sz w:val="21"/>
          <w:szCs w:val="21"/>
        </w:rPr>
      </w:pPr>
      <w:r>
        <w:rPr>
          <w:rFonts w:hint="eastAsia" w:cs="宋体"/>
          <w:color w:val="auto"/>
          <w:sz w:val="21"/>
          <w:szCs w:val="21"/>
        </w:rPr>
        <w:t>为在</w:t>
      </w:r>
      <w:r>
        <w:rPr>
          <w:rFonts w:hint="eastAsia" w:cs="宋体"/>
          <w:color w:val="auto"/>
          <w:sz w:val="21"/>
          <w:szCs w:val="21"/>
          <w:u w:val="single"/>
        </w:rPr>
        <w:t xml:space="preserve">            </w:t>
      </w:r>
      <w:r>
        <w:rPr>
          <w:rFonts w:hint="eastAsia" w:cs="宋体"/>
          <w:color w:val="auto"/>
          <w:sz w:val="21"/>
          <w:szCs w:val="21"/>
        </w:rPr>
        <w:t>（项目名称）施工合同的实施过程中创造安全、高效的施工环境，切实搞好本项目的安全管理工作，本项目发包人</w:t>
      </w:r>
      <w:r>
        <w:rPr>
          <w:rFonts w:hint="eastAsia" w:cs="宋体"/>
          <w:color w:val="auto"/>
          <w:sz w:val="21"/>
          <w:szCs w:val="21"/>
          <w:u w:val="single"/>
        </w:rPr>
        <w:t xml:space="preserve">       </w:t>
      </w:r>
      <w:r>
        <w:rPr>
          <w:rFonts w:hint="eastAsia" w:cs="宋体"/>
          <w:color w:val="auto"/>
          <w:sz w:val="21"/>
          <w:szCs w:val="21"/>
        </w:rPr>
        <w:t>（发包人名称，以下简称“发包人”）与承包人</w:t>
      </w:r>
      <w:r>
        <w:rPr>
          <w:rFonts w:hint="eastAsia" w:cs="宋体"/>
          <w:color w:val="auto"/>
          <w:sz w:val="21"/>
          <w:szCs w:val="21"/>
          <w:u w:val="single"/>
        </w:rPr>
        <w:t xml:space="preserve">         </w:t>
      </w:r>
      <w:r>
        <w:rPr>
          <w:rFonts w:hint="eastAsia" w:cs="宋体"/>
          <w:color w:val="auto"/>
          <w:sz w:val="21"/>
          <w:szCs w:val="21"/>
        </w:rPr>
        <w:t>（承包人名称，以下简称“承包人”）特此签订安全生产合同：</w:t>
      </w:r>
    </w:p>
    <w:p>
      <w:pPr>
        <w:spacing w:line="360" w:lineRule="auto"/>
        <w:ind w:firstLine="420" w:firstLineChars="200"/>
        <w:rPr>
          <w:rFonts w:cs="宋体"/>
          <w:color w:val="auto"/>
          <w:sz w:val="21"/>
          <w:szCs w:val="21"/>
        </w:rPr>
      </w:pPr>
      <w:r>
        <w:rPr>
          <w:rFonts w:hint="eastAsia" w:cs="宋体"/>
          <w:color w:val="auto"/>
          <w:sz w:val="21"/>
          <w:szCs w:val="21"/>
        </w:rPr>
        <w:t>1.发包人职责</w:t>
      </w:r>
    </w:p>
    <w:p>
      <w:pPr>
        <w:spacing w:line="360" w:lineRule="auto"/>
        <w:ind w:firstLine="420" w:firstLineChars="200"/>
        <w:rPr>
          <w:rFonts w:cs="宋体"/>
          <w:color w:val="auto"/>
          <w:sz w:val="21"/>
          <w:szCs w:val="21"/>
        </w:rPr>
      </w:pPr>
      <w:r>
        <w:rPr>
          <w:rFonts w:hint="eastAsia" w:cs="宋体"/>
          <w:color w:val="auto"/>
          <w:sz w:val="21"/>
          <w:szCs w:val="21"/>
        </w:rPr>
        <w:t>（1）严格遵守国家有关安全生产的法律法规，认真执行工程承包合同中的有关安全要求。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（2）按照“安全第一、预防为主”和坚持“管生产必须管安全”的原则进行安全生产管理，做到生产与安全工作同时计划、布置、检查、总结和评比。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（3）重要的安全设施必须坚持与主体工程“三同时”的原则，即：同时设计、审批，同时施工，同时验收，投入使用。</w:t>
      </w:r>
    </w:p>
    <w:p>
      <w:pPr>
        <w:spacing w:line="360" w:lineRule="auto"/>
        <w:ind w:firstLine="420" w:firstLineChars="200"/>
        <w:rPr>
          <w:rFonts w:cs="宋体"/>
          <w:color w:val="auto"/>
          <w:sz w:val="21"/>
          <w:szCs w:val="21"/>
        </w:rPr>
      </w:pPr>
      <w:r>
        <w:rPr>
          <w:rFonts w:hint="eastAsia" w:cs="宋体"/>
          <w:color w:val="auto"/>
          <w:sz w:val="21"/>
          <w:szCs w:val="21"/>
        </w:rPr>
        <w:t>（4）定期召开安全生产调度会，及时传达中央及地方有关安全生产的精神。</w:t>
      </w:r>
    </w:p>
    <w:p>
      <w:pPr>
        <w:spacing w:line="360" w:lineRule="auto"/>
        <w:ind w:firstLine="420" w:firstLineChars="200"/>
        <w:rPr>
          <w:rFonts w:cs="宋体"/>
          <w:color w:val="auto"/>
          <w:sz w:val="21"/>
          <w:szCs w:val="21"/>
        </w:rPr>
      </w:pPr>
      <w:r>
        <w:rPr>
          <w:rFonts w:hint="eastAsia" w:cs="宋体"/>
          <w:color w:val="auto"/>
          <w:sz w:val="21"/>
          <w:szCs w:val="21"/>
        </w:rPr>
        <w:t>（5）组织对承包人施工现场安全生产检查，监督承包人及时处理发现的各种安全隐患。</w:t>
      </w:r>
    </w:p>
    <w:p>
      <w:pPr>
        <w:spacing w:line="360" w:lineRule="auto"/>
        <w:ind w:firstLine="420" w:firstLineChars="200"/>
        <w:rPr>
          <w:rFonts w:cs="宋体"/>
          <w:color w:val="auto"/>
          <w:sz w:val="21"/>
          <w:szCs w:val="21"/>
        </w:rPr>
      </w:pPr>
      <w:r>
        <w:rPr>
          <w:rFonts w:hint="eastAsia" w:cs="宋体"/>
          <w:color w:val="auto"/>
          <w:sz w:val="21"/>
          <w:szCs w:val="21"/>
        </w:rPr>
        <w:t>2.承包人职责</w:t>
      </w:r>
    </w:p>
    <w:p>
      <w:pPr>
        <w:spacing w:line="360" w:lineRule="auto"/>
        <w:ind w:firstLine="420" w:firstLineChars="200"/>
        <w:rPr>
          <w:rFonts w:cs="宋体"/>
          <w:color w:val="auto"/>
          <w:sz w:val="21"/>
          <w:szCs w:val="21"/>
        </w:rPr>
      </w:pPr>
      <w:r>
        <w:rPr>
          <w:rFonts w:hint="eastAsia" w:cs="宋体"/>
          <w:color w:val="auto"/>
          <w:sz w:val="21"/>
          <w:szCs w:val="21"/>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cs="宋体"/>
          <w:color w:val="auto"/>
          <w:sz w:val="21"/>
          <w:szCs w:val="21"/>
        </w:rPr>
      </w:pPr>
      <w:r>
        <w:rPr>
          <w:rFonts w:hint="eastAsia" w:cs="宋体"/>
          <w:color w:val="auto"/>
          <w:sz w:val="21"/>
          <w:szCs w:val="21"/>
        </w:rPr>
        <w:t>（4）承包人在任何时候都应采取各种合理的预防措施，防止其员工发生任何违法、违禁、暴力或妨碍治安的行为。</w:t>
      </w:r>
    </w:p>
    <w:p>
      <w:pPr>
        <w:spacing w:line="360" w:lineRule="auto"/>
        <w:ind w:firstLine="420" w:firstLineChars="200"/>
        <w:rPr>
          <w:rFonts w:cs="宋体"/>
          <w:color w:val="auto"/>
          <w:sz w:val="21"/>
          <w:szCs w:val="21"/>
        </w:rPr>
      </w:pPr>
      <w:r>
        <w:rPr>
          <w:rFonts w:hint="eastAsia" w:cs="宋体"/>
          <w:color w:val="auto"/>
          <w:sz w:val="21"/>
          <w:szCs w:val="21"/>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20" w:firstLineChars="200"/>
        <w:rPr>
          <w:rFonts w:cs="宋体"/>
          <w:color w:val="auto"/>
          <w:sz w:val="21"/>
          <w:szCs w:val="21"/>
        </w:rPr>
      </w:pPr>
      <w:r>
        <w:rPr>
          <w:rFonts w:hint="eastAsia" w:cs="宋体"/>
          <w:color w:val="auto"/>
          <w:sz w:val="21"/>
          <w:szCs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cs="宋体"/>
          <w:color w:val="auto"/>
          <w:sz w:val="21"/>
          <w:szCs w:val="21"/>
        </w:rPr>
      </w:pPr>
      <w:r>
        <w:rPr>
          <w:rFonts w:hint="eastAsia" w:cs="宋体"/>
          <w:color w:val="auto"/>
          <w:sz w:val="21"/>
          <w:szCs w:val="21"/>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cs="宋体"/>
          <w:color w:val="auto"/>
          <w:sz w:val="21"/>
          <w:szCs w:val="21"/>
        </w:rPr>
      </w:pPr>
      <w:r>
        <w:rPr>
          <w:rFonts w:hint="eastAsia" w:cs="宋体"/>
          <w:color w:val="auto"/>
          <w:sz w:val="21"/>
          <w:szCs w:val="21"/>
        </w:rPr>
        <w:t>（8）所有施工机具设备和高空作业的设备均应定期检查，并有安全员的签字记录，保证其经常处于完好状态；不合格的机具、设备和劳动保护用品严禁使用：</w:t>
      </w:r>
    </w:p>
    <w:p>
      <w:pPr>
        <w:spacing w:line="360" w:lineRule="auto"/>
        <w:ind w:firstLine="420" w:firstLineChars="200"/>
        <w:rPr>
          <w:rFonts w:cs="宋体"/>
          <w:color w:val="auto"/>
          <w:sz w:val="21"/>
          <w:szCs w:val="21"/>
        </w:rPr>
      </w:pPr>
      <w:r>
        <w:rPr>
          <w:rFonts w:hint="eastAsia" w:cs="宋体"/>
          <w:color w:val="auto"/>
          <w:sz w:val="21"/>
          <w:szCs w:val="21"/>
        </w:rPr>
        <w:t>（9）施工中采用新技术、新工艺、新设备、新材料时，必须制定相应的安全技术措施，施工现场必须具有相关的安全标志牌。</w:t>
      </w:r>
    </w:p>
    <w:p>
      <w:pPr>
        <w:spacing w:line="360" w:lineRule="auto"/>
        <w:ind w:firstLine="420" w:firstLineChars="200"/>
        <w:rPr>
          <w:rFonts w:cs="宋体"/>
          <w:color w:val="auto"/>
          <w:sz w:val="21"/>
          <w:szCs w:val="21"/>
        </w:rPr>
      </w:pPr>
      <w:r>
        <w:rPr>
          <w:rFonts w:hint="eastAsia" w:cs="宋体"/>
          <w:color w:val="auto"/>
          <w:sz w:val="21"/>
          <w:szCs w:val="21"/>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cs="宋体"/>
          <w:color w:val="auto"/>
          <w:sz w:val="21"/>
          <w:szCs w:val="21"/>
        </w:rPr>
      </w:pPr>
      <w:r>
        <w:rPr>
          <w:rFonts w:hint="eastAsia" w:cs="宋体"/>
          <w:color w:val="auto"/>
          <w:sz w:val="21"/>
          <w:szCs w:val="21"/>
        </w:rPr>
        <w:t>（11）安全生产费用按照《建设工程安全生产管理条例》的相关规定使用和管理。</w:t>
      </w:r>
    </w:p>
    <w:p>
      <w:pPr>
        <w:spacing w:line="360" w:lineRule="auto"/>
        <w:ind w:firstLine="420" w:firstLineChars="200"/>
        <w:rPr>
          <w:rFonts w:cs="宋体"/>
          <w:color w:val="auto"/>
          <w:sz w:val="21"/>
          <w:szCs w:val="21"/>
        </w:rPr>
      </w:pPr>
      <w:r>
        <w:rPr>
          <w:rFonts w:hint="eastAsia" w:cs="宋体"/>
          <w:color w:val="auto"/>
          <w:sz w:val="21"/>
          <w:szCs w:val="21"/>
        </w:rPr>
        <w:t>3.违约责任</w:t>
      </w:r>
    </w:p>
    <w:p>
      <w:pPr>
        <w:spacing w:line="360" w:lineRule="auto"/>
        <w:ind w:firstLine="420" w:firstLineChars="200"/>
        <w:rPr>
          <w:rFonts w:cs="宋体"/>
          <w:color w:val="auto"/>
          <w:sz w:val="21"/>
          <w:szCs w:val="21"/>
        </w:rPr>
      </w:pPr>
      <w:r>
        <w:rPr>
          <w:rFonts w:hint="eastAsia" w:cs="宋体"/>
          <w:color w:val="auto"/>
          <w:sz w:val="21"/>
          <w:szCs w:val="21"/>
        </w:rPr>
        <w:t>如因发包人或承包人违约造成安全事故，将依法追究责任。</w:t>
      </w:r>
    </w:p>
    <w:p>
      <w:pPr>
        <w:spacing w:line="360" w:lineRule="auto"/>
        <w:ind w:firstLine="420" w:firstLineChars="200"/>
        <w:rPr>
          <w:rFonts w:cs="宋体"/>
          <w:color w:val="auto"/>
          <w:sz w:val="21"/>
          <w:szCs w:val="21"/>
        </w:rPr>
      </w:pPr>
      <w:r>
        <w:rPr>
          <w:rFonts w:hint="eastAsia" w:cs="宋体"/>
          <w:color w:val="auto"/>
          <w:sz w:val="21"/>
          <w:szCs w:val="21"/>
        </w:rPr>
        <w:t>4.本合同由双方法定代表人或其授权的代理人签署并加盖单位章后生效，全部工程竣工验收后失效。</w:t>
      </w:r>
    </w:p>
    <w:p>
      <w:pPr>
        <w:spacing w:line="360" w:lineRule="auto"/>
        <w:ind w:firstLine="420" w:firstLineChars="200"/>
        <w:rPr>
          <w:rFonts w:cs="宋体"/>
          <w:color w:val="auto"/>
          <w:sz w:val="21"/>
          <w:szCs w:val="21"/>
        </w:rPr>
      </w:pPr>
      <w:r>
        <w:rPr>
          <w:rFonts w:hint="eastAsia" w:cs="宋体"/>
          <w:color w:val="auto"/>
          <w:sz w:val="21"/>
          <w:szCs w:val="21"/>
        </w:rPr>
        <w:t>5.本合同正本—式</w:t>
      </w:r>
      <w:r>
        <w:rPr>
          <w:rFonts w:hint="eastAsia" w:cs="宋体"/>
          <w:color w:val="auto"/>
          <w:sz w:val="21"/>
          <w:szCs w:val="21"/>
          <w:u w:val="single"/>
        </w:rPr>
        <w:t xml:space="preserve">   </w:t>
      </w:r>
      <w:r>
        <w:rPr>
          <w:rFonts w:hint="eastAsia" w:cs="宋体"/>
          <w:color w:val="auto"/>
          <w:sz w:val="21"/>
          <w:szCs w:val="21"/>
        </w:rPr>
        <w:t>份，副本</w:t>
      </w:r>
      <w:r>
        <w:rPr>
          <w:rFonts w:hint="eastAsia" w:cs="宋体"/>
          <w:color w:val="auto"/>
          <w:sz w:val="21"/>
          <w:szCs w:val="21"/>
          <w:u w:val="single"/>
        </w:rPr>
        <w:t xml:space="preserve">  </w:t>
      </w:r>
      <w:r>
        <w:rPr>
          <w:rFonts w:hint="eastAsia" w:cs="宋体"/>
          <w:color w:val="auto"/>
          <w:sz w:val="21"/>
          <w:szCs w:val="21"/>
        </w:rPr>
        <w:t>份，合同双方各执正本—份，副本</w:t>
      </w:r>
      <w:r>
        <w:rPr>
          <w:rFonts w:hint="eastAsia" w:cs="宋体"/>
          <w:color w:val="auto"/>
          <w:sz w:val="21"/>
          <w:szCs w:val="21"/>
          <w:u w:val="single"/>
        </w:rPr>
        <w:t xml:space="preserve">  </w:t>
      </w:r>
      <w:r>
        <w:rPr>
          <w:rFonts w:hint="eastAsia" w:cs="宋体"/>
          <w:color w:val="auto"/>
          <w:sz w:val="21"/>
          <w:szCs w:val="21"/>
        </w:rPr>
        <w:t>份，当正本与副本的内容不一致时，以正本为准。</w:t>
      </w:r>
    </w:p>
    <w:p>
      <w:pPr>
        <w:spacing w:line="360" w:lineRule="auto"/>
        <w:rPr>
          <w:rFonts w:cs="宋体"/>
          <w:color w:val="auto"/>
          <w:sz w:val="21"/>
          <w:szCs w:val="21"/>
        </w:rPr>
      </w:pP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xml:space="preserve">            </w:t>
      </w:r>
      <w:r>
        <w:rPr>
          <w:rFonts w:hint="eastAsia" w:cs="宋体"/>
          <w:color w:val="auto"/>
          <w:sz w:val="21"/>
          <w:szCs w:val="21"/>
        </w:rPr>
        <w:t>（盖单位章）          承包人：</w:t>
      </w:r>
      <w:r>
        <w:rPr>
          <w:rFonts w:hint="eastAsia" w:cs="宋体"/>
          <w:color w:val="auto"/>
          <w:sz w:val="21"/>
          <w:szCs w:val="21"/>
          <w:u w:val="single"/>
        </w:rPr>
        <w:t xml:space="preserve">        </w:t>
      </w:r>
      <w:r>
        <w:rPr>
          <w:rFonts w:hint="eastAsia" w:cs="宋体"/>
          <w:color w:val="auto"/>
          <w:sz w:val="21"/>
          <w:szCs w:val="21"/>
        </w:rPr>
        <w:t>（盖单位章）</w:t>
      </w: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法定代表人或其委托代理人：</w:t>
      </w:r>
      <w:r>
        <w:rPr>
          <w:rFonts w:hint="eastAsia" w:cs="宋体"/>
          <w:color w:val="auto"/>
          <w:sz w:val="21"/>
          <w:szCs w:val="21"/>
          <w:u w:val="single"/>
        </w:rPr>
        <w:t xml:space="preserve">  </w:t>
      </w:r>
      <w:r>
        <w:rPr>
          <w:rFonts w:hint="eastAsia" w:cs="宋体"/>
          <w:color w:val="auto"/>
          <w:sz w:val="21"/>
          <w:szCs w:val="21"/>
        </w:rPr>
        <w:t>（签字）     法定代表人或其委托代理人：</w:t>
      </w:r>
      <w:r>
        <w:rPr>
          <w:rFonts w:hint="eastAsia" w:cs="宋体"/>
          <w:color w:val="auto"/>
          <w:sz w:val="21"/>
          <w:szCs w:val="21"/>
          <w:u w:val="single"/>
        </w:rPr>
        <w:t xml:space="preserve">   </w:t>
      </w:r>
      <w:r>
        <w:rPr>
          <w:rFonts w:hint="eastAsia" w:cs="宋体"/>
          <w:color w:val="auto"/>
          <w:sz w:val="21"/>
          <w:szCs w:val="21"/>
        </w:rPr>
        <w:t>（签字）</w:t>
      </w:r>
    </w:p>
    <w:p>
      <w:pPr>
        <w:spacing w:line="360" w:lineRule="auto"/>
        <w:rPr>
          <w:rFonts w:cs="宋体"/>
          <w:color w:val="auto"/>
          <w:sz w:val="21"/>
          <w:szCs w:val="21"/>
        </w:rPr>
      </w:pPr>
    </w:p>
    <w:p>
      <w:pPr>
        <w:spacing w:line="360" w:lineRule="auto"/>
        <w:ind w:firstLine="840"/>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 xml:space="preserve">日                </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hint="eastAsia" w:cs="宋体"/>
          <w:bCs/>
          <w:color w:val="auto"/>
          <w:kern w:val="44"/>
          <w:sz w:val="21"/>
          <w:szCs w:val="21"/>
        </w:rPr>
        <w:br w:type="page"/>
      </w:r>
      <w:bookmarkStart w:id="686" w:name="_Toc128950249"/>
      <w:r>
        <w:rPr>
          <w:rFonts w:hint="eastAsia" w:ascii="Times New Roman" w:eastAsia="黑体"/>
          <w:color w:val="auto"/>
          <w:szCs w:val="24"/>
        </w:rPr>
        <w:t>附件14：项目经理质量终身责任制承诺</w:t>
      </w:r>
      <w:bookmarkEnd w:id="686"/>
    </w:p>
    <w:p>
      <w:pPr>
        <w:spacing w:before="156" w:beforeLines="50" w:after="156" w:afterLines="50" w:line="360" w:lineRule="auto"/>
        <w:jc w:val="center"/>
        <w:rPr>
          <w:rFonts w:cs="宋体"/>
          <w:b/>
          <w:color w:val="auto"/>
          <w:sz w:val="32"/>
          <w:szCs w:val="32"/>
        </w:rPr>
      </w:pPr>
      <w:bookmarkStart w:id="687" w:name="_Toc19417"/>
      <w:bookmarkStart w:id="688" w:name="_Toc128950250"/>
      <w:bookmarkStart w:id="689" w:name="_Toc14540"/>
      <w:r>
        <w:rPr>
          <w:rFonts w:hint="eastAsia" w:cs="宋体"/>
          <w:b/>
          <w:color w:val="auto"/>
          <w:sz w:val="32"/>
          <w:szCs w:val="32"/>
        </w:rPr>
        <w:t>项目经理质量终身责任制承诺</w:t>
      </w:r>
      <w:bookmarkEnd w:id="687"/>
      <w:bookmarkEnd w:id="688"/>
      <w:bookmarkEnd w:id="689"/>
    </w:p>
    <w:p>
      <w:pPr>
        <w:spacing w:line="360" w:lineRule="auto"/>
        <w:rPr>
          <w:rFonts w:cs="宋体"/>
          <w:bCs/>
          <w:color w:val="auto"/>
          <w:sz w:val="21"/>
          <w:szCs w:val="21"/>
        </w:rPr>
      </w:pPr>
      <w:r>
        <w:rPr>
          <w:rFonts w:hint="eastAsia" w:cs="宋体"/>
          <w:bCs/>
          <w:color w:val="auto"/>
          <w:sz w:val="21"/>
          <w:szCs w:val="21"/>
        </w:rPr>
        <w:t>致：</w:t>
      </w:r>
      <w:r>
        <w:rPr>
          <w:rFonts w:hint="eastAsia" w:cs="宋体"/>
          <w:bCs/>
          <w:color w:val="auto"/>
          <w:sz w:val="21"/>
          <w:szCs w:val="21"/>
          <w:u w:val="single"/>
        </w:rPr>
        <w:t>（采购人）</w:t>
      </w:r>
    </w:p>
    <w:p>
      <w:pPr>
        <w:spacing w:line="360" w:lineRule="auto"/>
        <w:ind w:firstLine="420" w:firstLineChars="200"/>
        <w:rPr>
          <w:rFonts w:cs="宋体"/>
          <w:bCs/>
          <w:color w:val="auto"/>
          <w:sz w:val="21"/>
          <w:szCs w:val="21"/>
        </w:rPr>
      </w:pPr>
      <w:r>
        <w:rPr>
          <w:rFonts w:hint="eastAsia" w:cs="宋体"/>
          <w:bCs/>
          <w:color w:val="auto"/>
          <w:sz w:val="21"/>
          <w:szCs w:val="21"/>
        </w:rPr>
        <w:t>本人作为施工项目经理，承担相关质量终身责任，现郑重承诺如下：</w:t>
      </w:r>
    </w:p>
    <w:p>
      <w:pPr>
        <w:spacing w:line="360" w:lineRule="auto"/>
        <w:ind w:firstLine="420" w:firstLineChars="200"/>
        <w:rPr>
          <w:rFonts w:cs="宋体"/>
          <w:bCs/>
          <w:color w:val="auto"/>
          <w:sz w:val="21"/>
          <w:szCs w:val="21"/>
        </w:rPr>
      </w:pPr>
      <w:r>
        <w:rPr>
          <w:rFonts w:hint="eastAsia" w:cs="宋体"/>
          <w:bCs/>
          <w:color w:val="auto"/>
          <w:sz w:val="21"/>
          <w:szCs w:val="21"/>
        </w:rPr>
        <w:t>一、在取得施工许可证后进行施工。</w:t>
      </w:r>
    </w:p>
    <w:p>
      <w:pPr>
        <w:spacing w:line="360" w:lineRule="auto"/>
        <w:ind w:firstLine="420" w:firstLineChars="200"/>
        <w:rPr>
          <w:rFonts w:cs="宋体"/>
          <w:bCs/>
          <w:color w:val="auto"/>
          <w:sz w:val="21"/>
          <w:szCs w:val="21"/>
        </w:rPr>
      </w:pPr>
      <w:r>
        <w:rPr>
          <w:rFonts w:hint="eastAsia" w:cs="宋体"/>
          <w:bCs/>
          <w:color w:val="auto"/>
          <w:sz w:val="21"/>
          <w:szCs w:val="21"/>
        </w:rPr>
        <w:t>二、严格执行施工规范及标准。</w:t>
      </w:r>
    </w:p>
    <w:p>
      <w:pPr>
        <w:spacing w:line="360" w:lineRule="auto"/>
        <w:ind w:firstLine="420" w:firstLineChars="200"/>
        <w:rPr>
          <w:rFonts w:cs="宋体"/>
          <w:bCs/>
          <w:color w:val="auto"/>
          <w:sz w:val="21"/>
          <w:szCs w:val="21"/>
        </w:rPr>
      </w:pPr>
      <w:r>
        <w:rPr>
          <w:rFonts w:hint="eastAsia" w:cs="宋体"/>
          <w:bCs/>
          <w:color w:val="auto"/>
          <w:sz w:val="21"/>
          <w:szCs w:val="21"/>
        </w:rPr>
        <w:t>三、严格按规定配备施工项目部关键岗位人员，并确保所有人员到岗履职。</w:t>
      </w:r>
    </w:p>
    <w:p>
      <w:pPr>
        <w:spacing w:line="360" w:lineRule="auto"/>
        <w:ind w:firstLine="420" w:firstLineChars="200"/>
        <w:rPr>
          <w:rFonts w:cs="宋体"/>
          <w:bCs/>
          <w:color w:val="auto"/>
          <w:sz w:val="21"/>
          <w:szCs w:val="21"/>
        </w:rPr>
      </w:pPr>
      <w:r>
        <w:rPr>
          <w:rFonts w:hint="eastAsia" w:cs="宋体"/>
          <w:bCs/>
          <w:color w:val="auto"/>
          <w:sz w:val="21"/>
          <w:szCs w:val="21"/>
        </w:rPr>
        <w:t>四、严格按照经施工图审查机构审查合格的工程设计文件及合同约定的质量标准精心组织施工。</w:t>
      </w:r>
    </w:p>
    <w:p>
      <w:pPr>
        <w:spacing w:line="360" w:lineRule="auto"/>
        <w:ind w:firstLine="420" w:firstLineChars="200"/>
        <w:rPr>
          <w:rFonts w:cs="宋体"/>
          <w:bCs/>
          <w:color w:val="auto"/>
          <w:sz w:val="21"/>
          <w:szCs w:val="21"/>
        </w:rPr>
      </w:pPr>
      <w:r>
        <w:rPr>
          <w:rFonts w:hint="eastAsia" w:cs="宋体"/>
          <w:bCs/>
          <w:color w:val="auto"/>
          <w:sz w:val="21"/>
          <w:szCs w:val="21"/>
        </w:rPr>
        <w:t>五、施工中采用合格的建筑材料、建筑构配件和设备等，并严格按规定执行见证取样制度。</w:t>
      </w:r>
    </w:p>
    <w:p>
      <w:pPr>
        <w:spacing w:line="360" w:lineRule="auto"/>
        <w:ind w:firstLine="420" w:firstLineChars="200"/>
        <w:rPr>
          <w:rFonts w:cs="宋体"/>
          <w:bCs/>
          <w:color w:val="auto"/>
          <w:sz w:val="21"/>
          <w:szCs w:val="21"/>
        </w:rPr>
      </w:pPr>
      <w:r>
        <w:rPr>
          <w:rFonts w:hint="eastAsia" w:cs="宋体"/>
          <w:bCs/>
          <w:color w:val="auto"/>
          <w:sz w:val="21"/>
          <w:szCs w:val="21"/>
        </w:rPr>
        <w:t>六、建立、健全质量检查、验收制度，严格工序管理，做好隐蔽工程质量的检查和记录。</w:t>
      </w:r>
    </w:p>
    <w:p>
      <w:pPr>
        <w:spacing w:line="360" w:lineRule="auto"/>
        <w:ind w:firstLine="420" w:firstLineChars="200"/>
        <w:rPr>
          <w:rFonts w:cs="宋体"/>
          <w:bCs/>
          <w:color w:val="auto"/>
          <w:sz w:val="21"/>
          <w:szCs w:val="21"/>
        </w:rPr>
      </w:pPr>
      <w:r>
        <w:rPr>
          <w:rFonts w:hint="eastAsia" w:cs="宋体"/>
          <w:bCs/>
          <w:color w:val="auto"/>
          <w:sz w:val="21"/>
          <w:szCs w:val="21"/>
        </w:rPr>
        <w:t>七、对施工中出现的质量问题，及时进行整改。严格依法依规履行义务。</w:t>
      </w:r>
    </w:p>
    <w:p>
      <w:pPr>
        <w:spacing w:line="360" w:lineRule="auto"/>
        <w:ind w:firstLine="420" w:firstLineChars="200"/>
        <w:rPr>
          <w:rFonts w:cs="宋体"/>
          <w:bCs/>
          <w:color w:val="auto"/>
          <w:sz w:val="21"/>
          <w:szCs w:val="21"/>
        </w:rPr>
      </w:pPr>
      <w:r>
        <w:rPr>
          <w:rFonts w:hint="eastAsia" w:cs="宋体"/>
          <w:bCs/>
          <w:color w:val="auto"/>
          <w:sz w:val="21"/>
          <w:szCs w:val="21"/>
        </w:rPr>
        <w:t>八、履行相关工程质量检查、验收及事故处理等职责。</w:t>
      </w:r>
    </w:p>
    <w:p>
      <w:pPr>
        <w:spacing w:line="360" w:lineRule="auto"/>
        <w:ind w:firstLine="420" w:firstLineChars="200"/>
        <w:rPr>
          <w:rFonts w:cs="宋体"/>
          <w:bCs/>
          <w:color w:val="auto"/>
          <w:sz w:val="21"/>
          <w:szCs w:val="21"/>
        </w:rPr>
      </w:pPr>
      <w:r>
        <w:rPr>
          <w:rFonts w:hint="eastAsia" w:cs="宋体"/>
          <w:bCs/>
          <w:color w:val="auto"/>
          <w:sz w:val="21"/>
          <w:szCs w:val="21"/>
        </w:rPr>
        <w:t>九、履行其他法律法规规定的职责。</w:t>
      </w: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r>
        <w:rPr>
          <w:rFonts w:hint="eastAsia" w:cs="宋体"/>
          <w:bCs/>
          <w:color w:val="auto"/>
          <w:sz w:val="21"/>
          <w:szCs w:val="21"/>
        </w:rPr>
        <w:t>项目经理：</w:t>
      </w:r>
      <w:r>
        <w:rPr>
          <w:rFonts w:hint="eastAsia" w:cs="宋体"/>
          <w:bCs/>
          <w:color w:val="auto"/>
          <w:sz w:val="21"/>
          <w:szCs w:val="21"/>
          <w:u w:val="single"/>
        </w:rPr>
        <w:t xml:space="preserve">                   </w:t>
      </w:r>
      <w:r>
        <w:rPr>
          <w:rFonts w:hint="eastAsia" w:cs="宋体"/>
          <w:bCs/>
          <w:color w:val="auto"/>
          <w:sz w:val="21"/>
          <w:szCs w:val="21"/>
        </w:rPr>
        <w:t>（签字）</w:t>
      </w:r>
    </w:p>
    <w:p>
      <w:pPr>
        <w:spacing w:line="360" w:lineRule="auto"/>
        <w:ind w:left="342" w:leftChars="171" w:firstLine="630" w:firstLineChars="300"/>
        <w:rPr>
          <w:rFonts w:cs="宋体"/>
          <w:bCs/>
          <w:color w:val="auto"/>
          <w:sz w:val="21"/>
          <w:szCs w:val="21"/>
        </w:rPr>
      </w:pPr>
      <w:r>
        <w:rPr>
          <w:rFonts w:hint="eastAsia" w:cs="宋体"/>
          <w:bCs/>
          <w:color w:val="auto"/>
          <w:sz w:val="21"/>
          <w:szCs w:val="21"/>
        </w:rPr>
        <w:t>日期：_____年____月____日</w:t>
      </w:r>
    </w:p>
    <w:p>
      <w:pPr>
        <w:pStyle w:val="2"/>
        <w:rPr>
          <w:rFonts w:ascii="宋体" w:hAnsi="宋体" w:eastAsia="宋体" w:cs="宋体"/>
          <w:bCs/>
          <w:color w:val="auto"/>
          <w:sz w:val="21"/>
          <w:szCs w:val="21"/>
        </w:rPr>
      </w:pPr>
    </w:p>
    <w:p>
      <w:pPr>
        <w:widowControl/>
        <w:jc w:val="left"/>
        <w:rPr>
          <w:b/>
          <w:color w:val="auto"/>
          <w:sz w:val="24"/>
          <w:highlight w:val="none"/>
        </w:rPr>
      </w:pPr>
      <w:r>
        <w:rPr>
          <w:b/>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51" w:name="_GoBack"/>
      <w:bookmarkEnd w:id="751"/>
      <w:bookmarkStart w:id="690" w:name="_Toc16770"/>
      <w:r>
        <w:rPr>
          <w:rFonts w:hint="eastAsia" w:asciiTheme="minorEastAsia" w:hAnsiTheme="minorEastAsia" w:eastAsiaTheme="minorEastAsia"/>
          <w:b/>
          <w:color w:val="auto"/>
          <w:sz w:val="28"/>
          <w:highlight w:val="none"/>
        </w:rPr>
        <w:t>第六章  响应文件格式</w:t>
      </w:r>
      <w:bookmarkEnd w:id="6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691" w:name="_Toc26254"/>
      <w:bookmarkStart w:id="692" w:name="_Toc26798"/>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92"/>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606" w:firstLineChars="5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606" w:firstLineChars="5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606" w:firstLineChars="5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93" w:name="_Toc32582"/>
      <w:bookmarkStart w:id="694" w:name="_Toc2759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93"/>
      <w:bookmarkEnd w:id="6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5" w:name="_Toc461056631"/>
      <w:bookmarkStart w:id="696" w:name="_Toc461053086"/>
      <w:bookmarkStart w:id="697" w:name="_Toc520983587"/>
      <w:bookmarkStart w:id="698" w:name="_Toc17778"/>
      <w:bookmarkStart w:id="699" w:name="_Toc26877"/>
      <w:r>
        <w:rPr>
          <w:rFonts w:hint="eastAsia" w:asciiTheme="minorEastAsia" w:hAnsiTheme="minorEastAsia" w:eastAsiaTheme="minorEastAsia"/>
          <w:b/>
          <w:color w:val="auto"/>
          <w:sz w:val="24"/>
          <w:highlight w:val="none"/>
        </w:rPr>
        <w:t>一</w:t>
      </w:r>
      <w:bookmarkEnd w:id="695"/>
      <w:bookmarkEnd w:id="696"/>
      <w:r>
        <w:rPr>
          <w:rFonts w:hint="eastAsia" w:asciiTheme="minorEastAsia" w:hAnsiTheme="minorEastAsia" w:eastAsiaTheme="minorEastAsia"/>
          <w:b/>
          <w:color w:val="auto"/>
          <w:sz w:val="24"/>
          <w:highlight w:val="none"/>
        </w:rPr>
        <w:t>、报价表格式</w:t>
      </w:r>
      <w:bookmarkEnd w:id="697"/>
      <w:bookmarkEnd w:id="698"/>
      <w:bookmarkEnd w:id="699"/>
    </w:p>
    <w:p>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某项目    </w:t>
      </w:r>
    </w:p>
    <w:p>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某编号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谈判</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pPr>
              <w:snapToGrid w:val="0"/>
              <w:spacing w:line="360" w:lineRule="auto"/>
              <w:jc w:val="left"/>
              <w:rPr>
                <w:rFonts w:cs="宋体"/>
                <w:bCs/>
                <w:color w:val="auto"/>
                <w:sz w:val="21"/>
                <w:szCs w:val="21"/>
                <w:highlight w:val="none"/>
                <w:u w:val="single"/>
              </w:rPr>
            </w:pPr>
            <w:r>
              <w:rPr>
                <w:rFonts w:hint="eastAsia" w:cs="宋体"/>
                <w:bCs/>
                <w:color w:val="auto"/>
                <w:sz w:val="21"/>
                <w:szCs w:val="21"/>
                <w:highlight w:val="none"/>
              </w:rPr>
              <w:t>人民币大写：</w:t>
            </w:r>
            <w:r>
              <w:rPr>
                <w:rFonts w:hint="eastAsia" w:cs="宋体"/>
                <w:bCs/>
                <w:color w:val="auto"/>
                <w:sz w:val="21"/>
                <w:szCs w:val="21"/>
                <w:highlight w:val="none"/>
                <w:u w:val="single"/>
              </w:rPr>
              <w:t xml:space="preserve">                     </w:t>
            </w:r>
          </w:p>
          <w:p>
            <w:pPr>
              <w:snapToGrid w:val="0"/>
              <w:rPr>
                <w:rFonts w:cs="宋体" w:asciiTheme="minorEastAsia" w:hAnsiTheme="minorEastAsia" w:eastAsiaTheme="minorEastAsia"/>
                <w:b/>
                <w:color w:val="auto"/>
                <w:kern w:val="2"/>
                <w:sz w:val="24"/>
                <w:szCs w:val="24"/>
                <w:highlight w:val="none"/>
              </w:rPr>
            </w:pPr>
            <w:r>
              <w:rPr>
                <w:rFonts w:hint="eastAsia" w:cs="宋体"/>
                <w:bCs/>
                <w:color w:val="auto"/>
                <w:sz w:val="21"/>
                <w:szCs w:val="21"/>
                <w:highlight w:val="none"/>
              </w:rPr>
              <w:t>人民币小写：</w:t>
            </w:r>
            <w:r>
              <w:rPr>
                <w:rFonts w:hint="eastAsia" w:cs="宋体"/>
                <w:bCs/>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1.本表内容根据谈判文件要求包括了谈判文件要求提供的全部内容的所有费用。</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pPr>
        <w:adjustRightInd w:val="0"/>
        <w:snapToGrid w:val="0"/>
        <w:spacing w:line="360" w:lineRule="auto"/>
        <w:ind w:firstLine="482" w:firstLineChars="200"/>
        <w:rPr>
          <w:rFonts w:cs="@仿宋_GB2312" w:asciiTheme="minorEastAsia" w:hAnsiTheme="minorEastAsia" w:eastAsiaTheme="minorEastAsia"/>
          <w:b/>
          <w:bCs/>
          <w:color w:val="auto"/>
          <w:kern w:val="2"/>
          <w:sz w:val="24"/>
          <w:szCs w:val="24"/>
          <w:highlight w:val="none"/>
        </w:rPr>
      </w:pPr>
      <w:r>
        <w:rPr>
          <w:rFonts w:hint="eastAsia" w:cs="@仿宋_GB2312" w:asciiTheme="minorEastAsia" w:hAnsiTheme="minorEastAsia" w:eastAsiaTheme="minorEastAsia"/>
          <w:b/>
          <w:bCs/>
          <w:color w:val="auto"/>
          <w:kern w:val="2"/>
          <w:sz w:val="24"/>
          <w:szCs w:val="24"/>
          <w:highlight w:val="none"/>
          <w:lang w:val="en-US" w:eastAsia="zh-CN"/>
        </w:rPr>
        <w:t>3</w:t>
      </w:r>
      <w:r>
        <w:rPr>
          <w:rFonts w:hint="eastAsia" w:cs="@仿宋_GB2312" w:asciiTheme="minorEastAsia" w:hAnsiTheme="minorEastAsia" w:eastAsiaTheme="minorEastAsia"/>
          <w:b/>
          <w:bCs/>
          <w:color w:val="auto"/>
          <w:kern w:val="2"/>
          <w:sz w:val="24"/>
          <w:szCs w:val="24"/>
          <w:highlight w:val="none"/>
        </w:rPr>
        <w:t>.表中大写金额与小写金额不一致的，以大写金额为准。</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pPr>
        <w:autoSpaceDE w:val="0"/>
        <w:autoSpaceDN w:val="0"/>
        <w:adjustRightInd w:val="0"/>
        <w:spacing w:before="20" w:after="20" w:line="360" w:lineRule="auto"/>
        <w:jc w:val="center"/>
        <w:outlineLvl w:val="2"/>
        <w:rPr>
          <w:rFonts w:cs="宋体" w:asciiTheme="minorEastAsia" w:hAnsiTheme="minorEastAsia" w:eastAsiaTheme="minorEastAsia"/>
          <w:b/>
          <w:color w:val="auto"/>
          <w:sz w:val="24"/>
          <w:szCs w:val="24"/>
          <w:highlight w:val="none"/>
        </w:rPr>
      </w:pPr>
      <w:bookmarkStart w:id="700" w:name="_Toc30688"/>
      <w:r>
        <w:rPr>
          <w:rFonts w:hint="eastAsia" w:cs="宋体" w:asciiTheme="minorEastAsia" w:hAnsiTheme="minorEastAsia" w:eastAsiaTheme="minorEastAsia"/>
          <w:b/>
          <w:color w:val="auto"/>
          <w:sz w:val="24"/>
          <w:szCs w:val="24"/>
          <w:highlight w:val="none"/>
        </w:rPr>
        <w:t>工程量清单报价书</w:t>
      </w:r>
      <w:bookmarkEnd w:id="700"/>
    </w:p>
    <w:p>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pPr>
        <w:widowControl/>
        <w:jc w:val="left"/>
        <w:rPr>
          <w:b/>
          <w:bCs/>
          <w:color w:val="auto"/>
          <w:sz w:val="24"/>
          <w:szCs w:val="28"/>
          <w:highlight w:val="none"/>
        </w:rPr>
      </w:pPr>
      <w:r>
        <w:rPr>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01" w:name="_Toc461056632"/>
      <w:bookmarkStart w:id="702" w:name="_Toc461053087"/>
      <w:bookmarkStart w:id="703" w:name="_Toc28658"/>
      <w:bookmarkStart w:id="704" w:name="_Toc520983588"/>
      <w:bookmarkStart w:id="705" w:name="_Toc19576"/>
      <w:r>
        <w:rPr>
          <w:rFonts w:hint="eastAsia" w:asciiTheme="minorEastAsia" w:hAnsiTheme="minorEastAsia" w:eastAsiaTheme="minorEastAsia"/>
          <w:b/>
          <w:color w:val="auto"/>
          <w:sz w:val="24"/>
          <w:highlight w:val="none"/>
        </w:rPr>
        <w:t>二</w:t>
      </w:r>
      <w:bookmarkEnd w:id="701"/>
      <w:bookmarkEnd w:id="702"/>
      <w:r>
        <w:rPr>
          <w:rFonts w:hint="eastAsia" w:asciiTheme="minorEastAsia" w:hAnsiTheme="minorEastAsia" w:eastAsiaTheme="minorEastAsia"/>
          <w:b/>
          <w:color w:val="auto"/>
          <w:sz w:val="24"/>
          <w:highlight w:val="none"/>
        </w:rPr>
        <w:t>、最后承诺报价表</w:t>
      </w:r>
      <w:bookmarkEnd w:id="703"/>
      <w:bookmarkEnd w:id="704"/>
      <w:bookmarkEnd w:id="705"/>
    </w:p>
    <w:p>
      <w:pPr>
        <w:spacing w:before="156" w:beforeLines="50" w:after="156" w:afterLines="50" w:line="360" w:lineRule="auto"/>
        <w:ind w:firstLine="236" w:firstLineChars="98"/>
        <w:jc w:val="center"/>
        <w:outlineLvl w:val="9"/>
        <w:rPr>
          <w:b/>
          <w:color w:val="auto"/>
          <w:sz w:val="24"/>
          <w:szCs w:val="28"/>
          <w:highlight w:val="none"/>
        </w:rPr>
      </w:pPr>
      <w:bookmarkStart w:id="706" w:name="_Toc16156"/>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706"/>
    </w:p>
    <w:p>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谈判</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pPr>
              <w:snapToGrid w:val="0"/>
              <w:spacing w:line="360" w:lineRule="auto"/>
              <w:jc w:val="left"/>
              <w:rPr>
                <w:rFonts w:cs="宋体"/>
                <w:bCs/>
                <w:color w:val="auto"/>
                <w:sz w:val="21"/>
                <w:szCs w:val="21"/>
                <w:highlight w:val="none"/>
                <w:u w:val="single"/>
              </w:rPr>
            </w:pPr>
            <w:r>
              <w:rPr>
                <w:rFonts w:hint="eastAsia" w:cs="宋体"/>
                <w:bCs/>
                <w:color w:val="auto"/>
                <w:sz w:val="21"/>
                <w:szCs w:val="21"/>
                <w:highlight w:val="none"/>
              </w:rPr>
              <w:t>人民币大写：</w:t>
            </w:r>
            <w:r>
              <w:rPr>
                <w:rFonts w:hint="eastAsia" w:cs="宋体"/>
                <w:bCs/>
                <w:color w:val="auto"/>
                <w:sz w:val="21"/>
                <w:szCs w:val="21"/>
                <w:highlight w:val="none"/>
                <w:u w:val="single"/>
              </w:rPr>
              <w:t xml:space="preserve">                     </w:t>
            </w:r>
          </w:p>
          <w:p>
            <w:pPr>
              <w:snapToGrid w:val="0"/>
              <w:rPr>
                <w:rFonts w:cs="宋体" w:asciiTheme="minorEastAsia" w:hAnsiTheme="minorEastAsia" w:eastAsiaTheme="minorEastAsia"/>
                <w:b/>
                <w:color w:val="auto"/>
                <w:kern w:val="2"/>
                <w:sz w:val="24"/>
                <w:szCs w:val="24"/>
                <w:highlight w:val="none"/>
              </w:rPr>
            </w:pPr>
            <w:r>
              <w:rPr>
                <w:rFonts w:hint="eastAsia" w:cs="宋体"/>
                <w:bCs/>
                <w:color w:val="auto"/>
                <w:sz w:val="21"/>
                <w:szCs w:val="21"/>
                <w:highlight w:val="none"/>
              </w:rPr>
              <w:t>人民币小写：</w:t>
            </w:r>
            <w:r>
              <w:rPr>
                <w:rFonts w:hint="eastAsia" w:cs="宋体"/>
                <w:bCs/>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谈判小组签字</w:t>
            </w:r>
          </w:p>
        </w:tc>
        <w:tc>
          <w:tcPr>
            <w:tcW w:w="3491"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w:t>
      </w:r>
      <w:r>
        <w:rPr>
          <w:rFonts w:hint="eastAsia" w:cs="@仿宋_GB2312"/>
          <w:b/>
          <w:bCs/>
          <w:color w:val="auto"/>
          <w:kern w:val="2"/>
          <w:sz w:val="24"/>
          <w:highlight w:val="none"/>
        </w:rPr>
        <w:t>本页《报价表》由供应商在接到报价通知后依据谈判情况填写,并在规定时间内提交。</w:t>
      </w:r>
      <w:r>
        <w:rPr>
          <w:rFonts w:hint="eastAsia" w:cs="宋体" w:asciiTheme="minorEastAsia" w:hAnsiTheme="minorEastAsia" w:eastAsiaTheme="minorEastAsia"/>
          <w:color w:val="auto"/>
          <w:kern w:val="2"/>
          <w:sz w:val="24"/>
          <w:szCs w:val="24"/>
          <w:highlight w:val="none"/>
        </w:rPr>
        <w:t>考虑谈判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2.表中大写金额与小写金额不一致的，以大写金额为准。</w:t>
      </w:r>
    </w:p>
    <w:p>
      <w:pPr>
        <w:widowControl/>
        <w:jc w:val="left"/>
        <w:rPr>
          <w:bCs/>
          <w:color w:val="auto"/>
          <w:sz w:val="24"/>
          <w:highlight w:val="none"/>
        </w:rPr>
      </w:pPr>
      <w:r>
        <w:rPr>
          <w:bCs/>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07" w:name="_Toc15150"/>
      <w:bookmarkStart w:id="708" w:name="_Toc1235"/>
      <w:bookmarkStart w:id="709"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707"/>
      <w:bookmarkEnd w:id="708"/>
    </w:p>
    <w:p>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0" w:name="_Toc6969"/>
      <w:bookmarkStart w:id="711" w:name="_Toc6032"/>
      <w:r>
        <w:rPr>
          <w:rFonts w:hint="eastAsia" w:asciiTheme="minorEastAsia" w:hAnsiTheme="minorEastAsia" w:eastAsiaTheme="minorEastAsia"/>
          <w:b/>
          <w:color w:val="auto"/>
          <w:sz w:val="24"/>
          <w:highlight w:val="none"/>
        </w:rPr>
        <w:t>四、谈判响应函</w:t>
      </w:r>
      <w:bookmarkEnd w:id="709"/>
      <w:bookmarkEnd w:id="710"/>
      <w:bookmarkEnd w:id="711"/>
    </w:p>
    <w:p>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根据贵方的竞争性谈判公告和谈判邀请，我方兹宣布同意如下：</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1.经踏勘项目现场和研究上述谈判文件的谈判须知、合同条款、图纸和工程建设技术标准及其他有关文件后，我方接受上述文件要求，并对工程量清单及最高投标限价无异议。我方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承诺按本谈判文件、施工图纸、合同条款和工程建设技术标准的条件、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2.我方已详细审核并确认全部谈判文件及有关附件，充分理解谈判价格不得低于企业个别成本有关规定。我方经成本核算，所填报的谈判报价不低于企业个别成本。</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w:t>
      </w:r>
      <w:r>
        <w:rPr>
          <w:rFonts w:hint="eastAsia" w:cs="宋体"/>
          <w:color w:val="auto"/>
          <w:sz w:val="24"/>
          <w:szCs w:val="24"/>
          <w:highlight w:val="none"/>
          <w:lang w:eastAsia="zh-CN"/>
        </w:rPr>
        <w:t>谈判文件</w:t>
      </w:r>
      <w:r>
        <w:rPr>
          <w:rFonts w:hint="eastAsia" w:ascii="宋体" w:hAnsi="宋体" w:eastAsia="宋体" w:cs="宋体"/>
          <w:color w:val="auto"/>
          <w:sz w:val="24"/>
          <w:szCs w:val="24"/>
          <w:highlight w:val="none"/>
        </w:rPr>
        <w:t>约定的工期和</w:t>
      </w:r>
      <w:r>
        <w:rPr>
          <w:rFonts w:hint="eastAsia" w:cs="宋体"/>
          <w:color w:val="auto"/>
          <w:sz w:val="24"/>
          <w:szCs w:val="24"/>
          <w:highlight w:val="none"/>
          <w:lang w:eastAsia="zh-CN"/>
        </w:rPr>
        <w:t>谈判文件</w:t>
      </w:r>
      <w:r>
        <w:rPr>
          <w:rFonts w:hint="eastAsia" w:ascii="宋体" w:hAnsi="宋体" w:eastAsia="宋体" w:cs="宋体"/>
          <w:color w:val="auto"/>
          <w:sz w:val="24"/>
          <w:szCs w:val="24"/>
          <w:highlight w:val="none"/>
        </w:rPr>
        <w:t>或业主开工令的要求如期开工、工程质量达到合格标准、如期竣工并移交整个工程。</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w:t>
      </w:r>
      <w:r>
        <w:rPr>
          <w:rFonts w:hint="eastAsia" w:cs="宋体"/>
          <w:color w:val="auto"/>
          <w:kern w:val="2"/>
          <w:sz w:val="24"/>
          <w:szCs w:val="24"/>
          <w:highlight w:val="none"/>
          <w:lang w:eastAsia="zh-CN"/>
        </w:rPr>
        <w:t>谈判文件</w:t>
      </w:r>
      <w:r>
        <w:rPr>
          <w:rFonts w:hint="eastAsia" w:ascii="宋体" w:hAnsi="宋体" w:eastAsia="宋体" w:cs="宋体"/>
          <w:color w:val="auto"/>
          <w:kern w:val="2"/>
          <w:sz w:val="24"/>
          <w:szCs w:val="24"/>
          <w:highlight w:val="none"/>
        </w:rPr>
        <w:t>规定的</w:t>
      </w:r>
      <w:r>
        <w:rPr>
          <w:rFonts w:hint="eastAsia" w:cs="宋体"/>
          <w:color w:val="auto"/>
          <w:kern w:val="2"/>
          <w:sz w:val="24"/>
          <w:szCs w:val="24"/>
          <w:highlight w:val="none"/>
          <w:lang w:eastAsia="zh-CN"/>
        </w:rPr>
        <w:t>谈判有效期</w:t>
      </w:r>
      <w:r>
        <w:rPr>
          <w:rFonts w:hint="eastAsia" w:ascii="宋体" w:hAnsi="宋体" w:eastAsia="宋体" w:cs="宋体"/>
          <w:color w:val="auto"/>
          <w:kern w:val="2"/>
          <w:sz w:val="24"/>
          <w:szCs w:val="24"/>
          <w:highlight w:val="none"/>
        </w:rPr>
        <w:t>内有效，在此期间内如果成交，我方将受此约束。</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w:t>
      </w:r>
      <w:r>
        <w:rPr>
          <w:rFonts w:hint="eastAsia" w:cs="宋体"/>
          <w:color w:val="auto"/>
          <w:kern w:val="2"/>
          <w:sz w:val="24"/>
          <w:szCs w:val="24"/>
          <w:highlight w:val="none"/>
          <w:lang w:eastAsia="zh-CN"/>
        </w:rPr>
        <w:t>谈判文件</w:t>
      </w:r>
      <w:r>
        <w:rPr>
          <w:rFonts w:hint="eastAsia" w:ascii="宋体" w:hAnsi="宋体" w:eastAsia="宋体" w:cs="宋体"/>
          <w:color w:val="auto"/>
          <w:kern w:val="2"/>
          <w:sz w:val="24"/>
          <w:szCs w:val="24"/>
          <w:highlight w:val="none"/>
        </w:rPr>
        <w:t>、</w:t>
      </w:r>
      <w:r>
        <w:rPr>
          <w:rFonts w:hint="eastAsia" w:cs="宋体"/>
          <w:color w:val="auto"/>
          <w:kern w:val="2"/>
          <w:sz w:val="24"/>
          <w:szCs w:val="24"/>
          <w:highlight w:val="none"/>
          <w:lang w:eastAsia="zh-CN"/>
        </w:rPr>
        <w:t>谈判文件</w:t>
      </w:r>
      <w:r>
        <w:rPr>
          <w:rFonts w:hint="eastAsia" w:ascii="宋体" w:hAnsi="宋体" w:eastAsia="宋体" w:cs="宋体"/>
          <w:color w:val="auto"/>
          <w:kern w:val="2"/>
          <w:sz w:val="24"/>
          <w:szCs w:val="24"/>
          <w:highlight w:val="none"/>
        </w:rPr>
        <w:t>澄清、修改、补充将成为约束双方的合同文件的组成部分。</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pPr>
        <w:spacing w:line="360" w:lineRule="auto"/>
        <w:ind w:firstLine="3600" w:firstLineChars="1500"/>
        <w:rPr>
          <w:rFonts w:cs="@仿宋_GB2312"/>
          <w:color w:val="auto"/>
          <w:kern w:val="2"/>
          <w:sz w:val="24"/>
          <w:highlight w:val="none"/>
        </w:rPr>
      </w:pPr>
    </w:p>
    <w:p>
      <w:pPr>
        <w:spacing w:line="360" w:lineRule="auto"/>
        <w:ind w:firstLine="3600" w:firstLineChars="15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pPr>
        <w:spacing w:line="360" w:lineRule="auto"/>
        <w:ind w:firstLine="3600" w:firstLineChars="15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pPr>
        <w:widowControl/>
        <w:jc w:val="left"/>
        <w:rPr>
          <w:color w:val="auto"/>
          <w:sz w:val="24"/>
          <w:highlight w:val="none"/>
        </w:rPr>
      </w:pPr>
      <w:r>
        <w:rPr>
          <w:color w:val="auto"/>
          <w:sz w:val="24"/>
          <w:highlight w:val="none"/>
        </w:rPr>
        <w:br w:type="page"/>
      </w:r>
    </w:p>
    <w:p>
      <w:pPr>
        <w:spacing w:line="360" w:lineRule="auto"/>
        <w:jc w:val="center"/>
        <w:outlineLvl w:val="1"/>
        <w:rPr>
          <w:b/>
          <w:i/>
          <w:color w:val="auto"/>
          <w:sz w:val="24"/>
          <w:highlight w:val="yellow"/>
        </w:rPr>
      </w:pPr>
      <w:bookmarkStart w:id="712" w:name="_Toc2947"/>
      <w:bookmarkStart w:id="713" w:name="_Toc16222"/>
      <w:r>
        <w:rPr>
          <w:rFonts w:hint="eastAsia" w:asciiTheme="minorEastAsia" w:hAnsiTheme="minorEastAsia" w:eastAsiaTheme="minorEastAsia"/>
          <w:b/>
          <w:color w:val="auto"/>
          <w:sz w:val="24"/>
          <w:highlight w:val="none"/>
        </w:rPr>
        <w:t>五、</w:t>
      </w:r>
      <w:bookmarkEnd w:id="712"/>
      <w:bookmarkStart w:id="714" w:name="_Toc8658"/>
      <w:r>
        <w:rPr>
          <w:rFonts w:hint="eastAsia" w:asciiTheme="minorEastAsia" w:hAnsiTheme="minorEastAsia" w:eastAsiaTheme="minorEastAsia"/>
          <w:b/>
          <w:color w:val="auto"/>
          <w:sz w:val="24"/>
          <w:highlight w:val="none"/>
          <w:lang w:val="en-US" w:eastAsia="zh-CN"/>
        </w:rPr>
        <w:t>供应商资格声明书</w:t>
      </w:r>
      <w:bookmarkEnd w:id="713"/>
      <w:r>
        <w:rPr>
          <w:rFonts w:hint="eastAsia" w:asciiTheme="minorEastAsia" w:hAnsiTheme="minorEastAsia" w:eastAsiaTheme="minorEastAsia"/>
          <w:b/>
          <w:color w:val="auto"/>
          <w:sz w:val="24"/>
          <w:highlight w:val="none"/>
          <w:lang w:val="en-US" w:eastAsia="zh-CN"/>
        </w:rPr>
        <w:t xml:space="preserve"> </w:t>
      </w:r>
    </w:p>
    <w:p>
      <w:pPr>
        <w:pStyle w:val="29"/>
        <w:spacing w:line="360" w:lineRule="auto"/>
        <w:outlineLvl w:val="9"/>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谈判</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有效期内，在本项目所在区域未存在因质量事故、安全事故等被限期承包工程或市场不良行为等被限制磋商资格行为，且处于处罚期内的情况；</w:t>
      </w:r>
    </w:p>
    <w:p>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jc w:val="center"/>
        <w:outlineLvl w:val="9"/>
        <w:rPr>
          <w:b/>
          <w:i/>
          <w:color w:val="auto"/>
          <w:sz w:val="24"/>
          <w:highlight w:val="yellow"/>
        </w:r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p>
    <w:bookmarkEnd w:id="714"/>
    <w:p>
      <w:pPr>
        <w:spacing w:line="360" w:lineRule="auto"/>
        <w:jc w:val="center"/>
        <w:outlineLvl w:val="1"/>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bookmarkStart w:id="715" w:name="_Toc8203"/>
      <w:bookmarkStart w:id="716" w:name="_Toc520983594"/>
      <w:bookmarkStart w:id="717" w:name="_Toc516969106"/>
      <w:bookmarkStart w:id="718" w:name="_Toc121626298"/>
      <w:bookmarkStart w:id="719" w:name="_Toc204594911"/>
    </w:p>
    <w:p>
      <w:pPr>
        <w:spacing w:line="360" w:lineRule="auto"/>
        <w:jc w:val="center"/>
        <w:outlineLvl w:val="1"/>
        <w:rPr>
          <w:rFonts w:asciiTheme="minorEastAsia" w:hAnsiTheme="minorEastAsia" w:eastAsiaTheme="minorEastAsia"/>
          <w:b/>
          <w:color w:val="auto"/>
          <w:sz w:val="24"/>
          <w:highlight w:val="none"/>
        </w:rPr>
      </w:pPr>
      <w:bookmarkStart w:id="720" w:name="_Toc11666"/>
      <w:r>
        <w:rPr>
          <w:rFonts w:hint="eastAsia" w:asciiTheme="minorEastAsia" w:hAnsiTheme="minorEastAsia" w:eastAsiaTheme="minorEastAsia"/>
          <w:b/>
          <w:color w:val="auto"/>
          <w:sz w:val="24"/>
          <w:highlight w:val="none"/>
        </w:rPr>
        <w:t>六、授权书</w:t>
      </w:r>
      <w:bookmarkEnd w:id="715"/>
      <w:bookmarkEnd w:id="716"/>
      <w:bookmarkEnd w:id="717"/>
      <w:bookmarkEnd w:id="718"/>
      <w:bookmarkEnd w:id="719"/>
      <w:bookmarkEnd w:id="720"/>
    </w:p>
    <w:p>
      <w:pPr>
        <w:spacing w:line="360" w:lineRule="auto"/>
        <w:jc w:val="center"/>
        <w:rPr>
          <w:rFonts w:asciiTheme="minorEastAsia" w:hAnsiTheme="minorEastAsia" w:eastAsiaTheme="minorEastAsia"/>
          <w:b/>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27"/>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27"/>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color w:val="auto"/>
          <w:sz w:val="24"/>
          <w:szCs w:val="28"/>
          <w:highlight w:val="none"/>
        </w:rPr>
      </w:pPr>
      <w:r>
        <w:rPr>
          <w:rFonts w:hint="eastAsia"/>
          <w:color w:val="auto"/>
          <w:sz w:val="24"/>
          <w:szCs w:val="28"/>
          <w:highlight w:val="none"/>
        </w:rPr>
        <w:t>特此声明。</w:t>
      </w:r>
    </w:p>
    <w:p>
      <w:pPr>
        <w:spacing w:line="360" w:lineRule="auto"/>
        <w:rPr>
          <w:color w:val="auto"/>
          <w:sz w:val="24"/>
          <w:szCs w:val="28"/>
          <w:highlight w:val="none"/>
        </w:rPr>
      </w:pPr>
    </w:p>
    <w:p>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pPr>
        <w:spacing w:line="360" w:lineRule="auto"/>
        <w:jc w:val="center"/>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pPr>
        <w:spacing w:line="360" w:lineRule="auto"/>
        <w:rPr>
          <w:color w:val="auto"/>
          <w:sz w:val="24"/>
          <w:szCs w:val="28"/>
          <w:highlight w:val="none"/>
        </w:rPr>
      </w:pPr>
    </w:p>
    <w:p>
      <w:pPr>
        <w:spacing w:line="360" w:lineRule="auto"/>
        <w:rPr>
          <w:color w:val="auto"/>
          <w:sz w:val="24"/>
          <w:szCs w:val="28"/>
          <w:highlight w:val="none"/>
        </w:rPr>
      </w:pP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color w:val="auto"/>
          <w:sz w:val="24"/>
          <w:highlight w:val="none"/>
        </w:rPr>
      </w:pPr>
      <w:r>
        <w:rPr>
          <w:rFonts w:hint="eastAsia"/>
          <w:color w:val="auto"/>
          <w:sz w:val="24"/>
          <w:highlight w:val="none"/>
        </w:rPr>
        <w:t>2.法定代表人参加谈判的无需提供授权书，仅提供身份证明扫描件。</w:t>
      </w:r>
    </w:p>
    <w:p>
      <w:pPr>
        <w:widowControl/>
        <w:jc w:val="left"/>
        <w:rPr>
          <w:color w:val="auto"/>
          <w:sz w:val="24"/>
          <w:highlight w:val="none"/>
        </w:rPr>
      </w:pPr>
      <w:r>
        <w:rPr>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21" w:name="_Toc15839"/>
      <w:bookmarkStart w:id="722" w:name="_Toc24843"/>
      <w:r>
        <w:rPr>
          <w:rFonts w:hint="eastAsia" w:cs="@仿宋_GB2312" w:asciiTheme="minorEastAsia" w:hAnsiTheme="minorEastAsia" w:eastAsiaTheme="minorEastAsia"/>
          <w:b/>
          <w:bCs/>
          <w:color w:val="auto"/>
          <w:kern w:val="2"/>
          <w:sz w:val="24"/>
          <w:szCs w:val="24"/>
          <w:highlight w:val="none"/>
        </w:rPr>
        <w:t>七、法定代表人身份证明书</w:t>
      </w:r>
      <w:bookmarkEnd w:id="721"/>
      <w:bookmarkEnd w:id="722"/>
    </w:p>
    <w:p>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pPr>
        <w:spacing w:before="62" w:beforeLines="20" w:after="62" w:afterLines="20" w:line="540" w:lineRule="exact"/>
        <w:ind w:firstLine="610"/>
        <w:rPr>
          <w:rFonts w:ascii="@仿宋_GB2312" w:hAnsi="Calibri" w:eastAsia="@仿宋_GB2312" w:cs="宋体"/>
          <w:color w:val="auto"/>
          <w:kern w:val="2"/>
          <w:sz w:val="24"/>
          <w:szCs w:val="24"/>
          <w:highlight w:val="none"/>
        </w:rPr>
      </w:pPr>
    </w:p>
    <w:p>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723" w:name="_Toc4373"/>
      <w:bookmarkStart w:id="724" w:name="_Toc32663"/>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、项目经理承诺书</w:t>
      </w:r>
      <w:bookmarkEnd w:id="723"/>
      <w:bookmarkEnd w:id="724"/>
    </w:p>
    <w:p>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本人作为我单位在本项目磋商担任的项目经理，郑重承诺：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磋商而造假的行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、本人承诺，一旦成交，将严格按照磋商文件规定履约。</w:t>
      </w:r>
    </w:p>
    <w:p>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pPr>
        <w:spacing w:line="360" w:lineRule="auto"/>
        <w:ind w:firstLine="4200" w:firstLineChars="1750"/>
        <w:rPr>
          <w:rFonts w:ascii="@仿宋_GB2312" w:eastAsia="@仿宋_GB2312" w:cs="宋体"/>
          <w:color w:val="auto"/>
          <w:kern w:val="2"/>
          <w:sz w:val="24"/>
          <w:szCs w:val="24"/>
          <w:highlight w:val="none"/>
          <w:lang w:val="zh-CN"/>
        </w:rPr>
      </w:pPr>
      <w:r>
        <w:rPr>
          <w:rFonts w:hint="eastAsia" w:ascii="@仿宋_GB2312" w:cs="@仿宋_GB2312"/>
          <w:color w:val="auto"/>
          <w:kern w:val="2"/>
          <w:sz w:val="24"/>
          <w:szCs w:val="28"/>
          <w:highlight w:val="none"/>
        </w:rPr>
        <w:br w:type="page"/>
      </w:r>
    </w:p>
    <w:p>
      <w:pPr>
        <w:widowControl/>
        <w:jc w:val="left"/>
        <w:rPr>
          <w:rFonts w:asciiTheme="minorEastAsia" w:hAnsiTheme="minorEastAsia" w:eastAsiaTheme="minorEastAsia"/>
          <w:b/>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725" w:name="_Toc32708"/>
      <w:bookmarkStart w:id="726" w:name="_Toc8061"/>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、联合协议</w:t>
      </w:r>
      <w:bookmarkEnd w:id="725"/>
      <w:bookmarkEnd w:id="726"/>
    </w:p>
    <w:p>
      <w:pPr>
        <w:pStyle w:val="38"/>
        <w:spacing w:line="360" w:lineRule="auto"/>
        <w:rPr>
          <w:rFonts w:hint="eastAsia" w:ascii="宋体" w:hAnsi="宋体" w:eastAsia="宋体"/>
          <w:b w:val="0"/>
          <w:i/>
          <w:color w:val="FF0000"/>
          <w:sz w:val="24"/>
          <w:highlight w:val="none"/>
          <w:lang w:eastAsia="zh-CN"/>
        </w:rPr>
      </w:pPr>
      <w:r>
        <w:rPr>
          <w:rFonts w:hint="eastAsia" w:ascii="宋体" w:hAnsi="宋体" w:eastAsia="宋体"/>
          <w:b w:val="0"/>
          <w:i/>
          <w:color w:val="FF0000"/>
          <w:sz w:val="24"/>
          <w:highlight w:val="none"/>
        </w:rPr>
        <w:t>（不允许联合体参加磋商或未组成联合体的，不需此件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；允许联合体参加磋商且供应商为联合体参加磋商的，请将此件制成扫描件上传</w:t>
      </w:r>
      <w:r>
        <w:rPr>
          <w:rFonts w:hint="eastAsia" w:ascii="宋体" w:hAnsi="宋体" w:eastAsia="宋体"/>
          <w:b w:val="0"/>
          <w:i/>
          <w:color w:val="FF0000"/>
          <w:sz w:val="24"/>
          <w:highlight w:val="none"/>
          <w:lang w:eastAsia="zh-CN"/>
        </w:rPr>
        <w:t>，</w:t>
      </w:r>
    </w:p>
    <w:p>
      <w:pPr>
        <w:pStyle w:val="38"/>
        <w:spacing w:line="360" w:lineRule="auto"/>
        <w:jc w:val="both"/>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jc w:val="righ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spacing w:line="360" w:lineRule="auto"/>
        <w:ind w:right="480" w:firstLine="4680" w:firstLineChars="1950"/>
        <w:rPr>
          <w:rFonts w:asciiTheme="minorEastAsia" w:hAnsiTheme="minorEastAsia" w:eastAsiaTheme="minorEastAsia"/>
          <w:color w:val="auto"/>
          <w:sz w:val="24"/>
          <w:highlight w:val="none"/>
        </w:rPr>
      </w:pP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27" w:name="_Toc6618"/>
      <w:bookmarkStart w:id="728" w:name="_Toc30935"/>
      <w:r>
        <w:rPr>
          <w:rFonts w:hint="eastAsia" w:asciiTheme="minorEastAsia" w:hAnsiTheme="minorEastAsia" w:eastAsiaTheme="minorEastAsia"/>
          <w:b/>
          <w:color w:val="auto"/>
          <w:sz w:val="24"/>
          <w:highlight w:val="none"/>
          <w:lang w:val="en-US" w:eastAsia="zh-CN"/>
        </w:rPr>
        <w:t>十．拟分包情况说明及分包意向协议</w:t>
      </w:r>
      <w:bookmarkEnd w:id="727"/>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29"/>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267"/>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268"/>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268"/>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268"/>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jc w:val="both"/>
              <w:rPr>
                <w:rFonts w:hint="eastAsia" w:ascii="宋体" w:hAnsi="宋体" w:eastAsia="宋体" w:cs="宋体"/>
              </w:rPr>
            </w:pP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3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adjustRightInd w:val="0"/>
        <w:snapToGrid w:val="0"/>
        <w:spacing w:line="360" w:lineRule="auto"/>
        <w:rPr>
          <w:rFonts w:hint="eastAsia" w:asciiTheme="minorEastAsia" w:hAnsiTheme="minorEastAsia" w:eastAsiaTheme="minorEastAsia"/>
          <w:b/>
          <w:bCs/>
          <w:sz w:val="24"/>
          <w:szCs w:val="28"/>
          <w:lang w:val="en-US" w:eastAsia="zh-CN"/>
        </w:rPr>
      </w:pPr>
      <w:r>
        <w:rPr>
          <w:rFonts w:hint="eastAsia" w:asciiTheme="minorEastAsia" w:hAnsiTheme="minorEastAsia" w:eastAsiaTheme="minorEastAsia"/>
          <w:b/>
          <w:bCs/>
          <w:sz w:val="24"/>
          <w:szCs w:val="28"/>
        </w:rPr>
        <w:t>分包意向协议中须约定向中小企业分包的项目内容及分包内容占合同金额比例</w:t>
      </w:r>
      <w:r>
        <w:rPr>
          <w:rFonts w:hint="eastAsia" w:asciiTheme="minorEastAsia" w:hAnsiTheme="minorEastAsia" w:eastAsiaTheme="minorEastAsia"/>
          <w:b/>
          <w:bCs/>
          <w:sz w:val="24"/>
          <w:szCs w:val="28"/>
          <w:lang w:eastAsia="zh-CN"/>
        </w:rPr>
        <w:t>。</w:t>
      </w: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29" w:name="_Toc30344"/>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、中小企业声明函</w:t>
      </w:r>
      <w:bookmarkEnd w:id="728"/>
      <w:bookmarkEnd w:id="729"/>
    </w:p>
    <w:p>
      <w:pPr>
        <w:spacing w:line="360" w:lineRule="auto"/>
        <w:jc w:val="center"/>
        <w:rPr>
          <w:rFonts w:asciiTheme="minorEastAsia" w:hAnsiTheme="minorEastAsia" w:eastAsiaTheme="minorEastAsia"/>
          <w:i/>
          <w:color w:val="auto"/>
          <w:sz w:val="24"/>
          <w:szCs w:val="24"/>
          <w:highlight w:val="none"/>
          <w:lang w:val="zh-CN"/>
        </w:rPr>
      </w:pPr>
      <w:r>
        <w:rPr>
          <w:rFonts w:hint="eastAsia" w:asciiTheme="minorEastAsia" w:hAnsiTheme="minorEastAsia" w:eastAsiaTheme="minorEastAsia"/>
          <w:i/>
          <w:color w:val="auto"/>
          <w:sz w:val="24"/>
          <w:szCs w:val="24"/>
          <w:highlight w:val="none"/>
          <w:lang w:val="zh-CN"/>
        </w:rPr>
        <w:t>（非中小企业谈判，不需此件）</w:t>
      </w:r>
    </w:p>
    <w:p>
      <w:pPr>
        <w:rPr>
          <w:rFonts w:asciiTheme="minorEastAsia" w:hAnsiTheme="minorEastAsia" w:eastAsiaTheme="minorEastAsia"/>
          <w:color w:val="auto"/>
          <w:sz w:val="24"/>
          <w:szCs w:val="24"/>
          <w:highlight w:val="none"/>
        </w:rPr>
      </w:pP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 xml:space="preserve">本企业对上述声明内容的真实性负责。如有虚假，将依法承担相应责任。 </w:t>
      </w: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5．填写示例：</w:t>
      </w:r>
      <w:r>
        <w:rPr>
          <w:rFonts w:hint="eastAsia" w:cs="宋体"/>
          <w:b/>
          <w:bCs/>
          <w:color w:val="auto"/>
          <w:kern w:val="2"/>
          <w:sz w:val="21"/>
          <w:szCs w:val="21"/>
          <w:highlight w:val="none"/>
          <w:u w:val="single"/>
        </w:rPr>
        <w:t>某标的名称</w:t>
      </w:r>
      <w:r>
        <w:rPr>
          <w:rFonts w:hint="eastAsia" w:cs="宋体"/>
          <w:b/>
          <w:bCs/>
          <w:color w:val="auto"/>
          <w:kern w:val="2"/>
          <w:sz w:val="21"/>
          <w:szCs w:val="21"/>
          <w:highlight w:val="none"/>
        </w:rPr>
        <w:t>（</w:t>
      </w:r>
      <w:r>
        <w:rPr>
          <w:rFonts w:hint="eastAsia" w:cs="宋体"/>
          <w:b/>
          <w:bCs/>
          <w:color w:val="auto"/>
          <w:kern w:val="2"/>
          <w:sz w:val="21"/>
          <w:szCs w:val="21"/>
          <w:highlight w:val="none"/>
          <w:u w:val="single"/>
        </w:rPr>
        <w:t>填写第三章采购需求前附表中明确的“标的名称”</w:t>
      </w:r>
      <w:r>
        <w:rPr>
          <w:rFonts w:hint="eastAsia" w:cs="宋体"/>
          <w:b/>
          <w:bCs/>
          <w:color w:val="auto"/>
          <w:kern w:val="2"/>
          <w:sz w:val="21"/>
          <w:szCs w:val="21"/>
          <w:highlight w:val="none"/>
        </w:rPr>
        <w:t>），属于</w:t>
      </w:r>
      <w:r>
        <w:rPr>
          <w:rFonts w:hint="eastAsia" w:cs="宋体"/>
          <w:b/>
          <w:bCs/>
          <w:color w:val="auto"/>
          <w:kern w:val="2"/>
          <w:sz w:val="21"/>
          <w:szCs w:val="21"/>
          <w:highlight w:val="none"/>
          <w:u w:val="single"/>
        </w:rPr>
        <w:t>（填写第三章采购需求前附表中明确的“所属行业”，如建筑业）</w:t>
      </w:r>
      <w:r>
        <w:rPr>
          <w:rFonts w:hint="eastAsia" w:cs="宋体"/>
          <w:b/>
          <w:bCs/>
          <w:color w:val="auto"/>
          <w:kern w:val="2"/>
          <w:sz w:val="21"/>
          <w:szCs w:val="21"/>
          <w:highlight w:val="none"/>
        </w:rPr>
        <w:t>行业；承接企业为</w:t>
      </w:r>
      <w:r>
        <w:rPr>
          <w:rFonts w:hint="eastAsia" w:cs="宋体"/>
          <w:b/>
          <w:bCs/>
          <w:color w:val="auto"/>
          <w:kern w:val="2"/>
          <w:sz w:val="21"/>
          <w:szCs w:val="21"/>
          <w:highlight w:val="none"/>
          <w:u w:val="single"/>
          <w:lang w:val="zh-CN"/>
        </w:rPr>
        <w:t>某公司</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从业人员</w:t>
      </w:r>
      <w:r>
        <w:rPr>
          <w:rFonts w:hint="eastAsia" w:cs="宋体"/>
          <w:b/>
          <w:bCs/>
          <w:color w:val="auto"/>
          <w:kern w:val="2"/>
          <w:sz w:val="21"/>
          <w:szCs w:val="21"/>
          <w:highlight w:val="none"/>
          <w:u w:val="single"/>
        </w:rPr>
        <w:t>100</w:t>
      </w:r>
      <w:r>
        <w:rPr>
          <w:rFonts w:hint="eastAsia" w:cs="宋体"/>
          <w:b/>
          <w:bCs/>
          <w:color w:val="auto"/>
          <w:kern w:val="2"/>
          <w:sz w:val="21"/>
          <w:szCs w:val="21"/>
          <w:highlight w:val="none"/>
          <w:lang w:val="zh-CN"/>
        </w:rPr>
        <w:t>人</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营业收入为</w:t>
      </w:r>
      <w:r>
        <w:rPr>
          <w:rFonts w:hint="eastAsia" w:cs="宋体"/>
          <w:b/>
          <w:bCs/>
          <w:color w:val="auto"/>
          <w:kern w:val="2"/>
          <w:sz w:val="21"/>
          <w:szCs w:val="21"/>
          <w:highlight w:val="none"/>
          <w:u w:val="single"/>
        </w:rPr>
        <w:t>10000</w:t>
      </w:r>
      <w:r>
        <w:rPr>
          <w:rFonts w:hint="eastAsia" w:cs="宋体"/>
          <w:b/>
          <w:bCs/>
          <w:color w:val="auto"/>
          <w:kern w:val="2"/>
          <w:sz w:val="21"/>
          <w:szCs w:val="21"/>
          <w:highlight w:val="none"/>
          <w:lang w:val="zh-CN"/>
        </w:rPr>
        <w:t>万元</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资产总额为</w:t>
      </w:r>
      <w:r>
        <w:rPr>
          <w:rFonts w:hint="eastAsia" w:cs="宋体"/>
          <w:b/>
          <w:bCs/>
          <w:color w:val="auto"/>
          <w:kern w:val="2"/>
          <w:sz w:val="21"/>
          <w:szCs w:val="21"/>
          <w:highlight w:val="none"/>
          <w:u w:val="single"/>
        </w:rPr>
        <w:t>5000</w:t>
      </w:r>
      <w:r>
        <w:rPr>
          <w:rFonts w:hint="eastAsia" w:cs="宋体"/>
          <w:b/>
          <w:bCs/>
          <w:color w:val="auto"/>
          <w:kern w:val="2"/>
          <w:sz w:val="21"/>
          <w:szCs w:val="21"/>
          <w:highlight w:val="none"/>
          <w:lang w:val="zh-CN"/>
        </w:rPr>
        <w:t>万元</w:t>
      </w:r>
      <w:r>
        <w:rPr>
          <w:rFonts w:hint="eastAsia" w:cs="宋体"/>
          <w:b/>
          <w:bCs/>
          <w:color w:val="auto"/>
          <w:kern w:val="2"/>
          <w:sz w:val="21"/>
          <w:szCs w:val="21"/>
          <w:highlight w:val="none"/>
        </w:rPr>
        <w:t>，</w:t>
      </w:r>
      <w:r>
        <w:rPr>
          <w:rFonts w:hint="eastAsia" w:cs="宋体"/>
          <w:b/>
          <w:bCs/>
          <w:color w:val="auto"/>
          <w:kern w:val="2"/>
          <w:sz w:val="21"/>
          <w:szCs w:val="21"/>
          <w:highlight w:val="none"/>
          <w:lang w:val="zh-CN"/>
        </w:rPr>
        <w:t>属于</w:t>
      </w:r>
      <w:r>
        <w:rPr>
          <w:rFonts w:hint="eastAsia" w:cs="宋体"/>
          <w:b/>
          <w:bCs/>
          <w:color w:val="auto"/>
          <w:kern w:val="2"/>
          <w:sz w:val="21"/>
          <w:szCs w:val="21"/>
          <w:highlight w:val="none"/>
        </w:rPr>
        <w:t>中</w:t>
      </w:r>
      <w:r>
        <w:rPr>
          <w:rFonts w:hint="eastAsia" w:cs="宋体"/>
          <w:b/>
          <w:bCs/>
          <w:color w:val="auto"/>
          <w:kern w:val="2"/>
          <w:sz w:val="21"/>
          <w:szCs w:val="21"/>
          <w:highlight w:val="none"/>
          <w:u w:val="single"/>
          <w:lang w:val="zh-CN"/>
        </w:rPr>
        <w:t>型</w:t>
      </w:r>
      <w:r>
        <w:rPr>
          <w:rFonts w:hint="eastAsia" w:cs="宋体"/>
          <w:b/>
          <w:bCs/>
          <w:color w:val="auto"/>
          <w:kern w:val="2"/>
          <w:sz w:val="21"/>
          <w:szCs w:val="21"/>
          <w:highlight w:val="none"/>
          <w:lang w:val="zh-CN"/>
        </w:rPr>
        <w:t>企业</w:t>
      </w:r>
      <w:r>
        <w:rPr>
          <w:rFonts w:hint="eastAsia" w:cs="宋体"/>
          <w:b/>
          <w:bCs/>
          <w:color w:val="auto"/>
          <w:kern w:val="2"/>
          <w:sz w:val="21"/>
          <w:szCs w:val="21"/>
          <w:highlight w:val="none"/>
        </w:rPr>
        <w:t>[投标人自行登录工业和信息化部官网进行中小企业规模类型自测（查询网址https://www.miit.gov.cn/）]。</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0" w:name="_Toc28558"/>
      <w:bookmarkStart w:id="731" w:name="_Toc1212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、残疾人福利性单位声明函</w:t>
      </w:r>
      <w:bookmarkEnd w:id="730"/>
      <w:bookmarkEnd w:id="731"/>
    </w:p>
    <w:p>
      <w:pPr>
        <w:spacing w:line="360" w:lineRule="auto"/>
        <w:ind w:firstLine="435"/>
        <w:rPr>
          <w:rFonts w:cs="Times New Roman"/>
          <w:color w:val="auto"/>
          <w:spacing w:val="6"/>
          <w:kern w:val="2"/>
          <w:sz w:val="24"/>
          <w:szCs w:val="24"/>
          <w:highlight w:val="none"/>
        </w:rPr>
      </w:pPr>
      <w:r>
        <w:rPr>
          <w:rFonts w:hint="eastAsia"/>
          <w:b w:val="0"/>
          <w:i/>
          <w:color w:val="FF0000"/>
          <w:sz w:val="24"/>
          <w:highlight w:val="none"/>
          <w:lang w:val="en-US" w:eastAsia="zh-CN"/>
        </w:rPr>
        <w:t>（</w:t>
      </w:r>
      <w:r>
        <w:rPr>
          <w:rFonts w:hint="eastAsia" w:ascii="宋体" w:hAnsi="宋体" w:eastAsia="宋体"/>
          <w:b w:val="0"/>
          <w:i/>
          <w:color w:val="FF0000"/>
          <w:sz w:val="24"/>
          <w:highlight w:val="none"/>
          <w:lang w:val="en-US" w:eastAsia="zh-CN"/>
        </w:rPr>
        <w:t>请完整填写声明函内容，否则不予认可；非残疾人福利性单位投标，请删去“残疾人福利性单位声明函”；残疾人福利性单位</w:t>
      </w:r>
      <w:r>
        <w:rPr>
          <w:rFonts w:hint="eastAsia" w:ascii="宋体" w:hAnsi="宋体" w:eastAsia="宋体"/>
          <w:b w:val="0"/>
          <w:i/>
          <w:color w:val="FF0000"/>
          <w:sz w:val="24"/>
          <w:highlight w:val="none"/>
          <w:lang w:val="zh-CN" w:eastAsia="zh-CN"/>
        </w:rPr>
        <w:t>投标</w:t>
      </w:r>
      <w:r>
        <w:rPr>
          <w:rFonts w:hint="eastAsia" w:ascii="宋体" w:hAnsi="宋体" w:eastAsia="宋体"/>
          <w:b w:val="0"/>
          <w:i/>
          <w:color w:val="FF0000"/>
          <w:sz w:val="24"/>
          <w:highlight w:val="none"/>
          <w:lang w:val="en-US" w:eastAsia="zh-CN"/>
        </w:rPr>
        <w:t>，请删去本提示内容</w:t>
      </w:r>
      <w:r>
        <w:rPr>
          <w:rFonts w:hint="eastAsia"/>
          <w:b w:val="0"/>
          <w:i/>
          <w:color w:val="FF0000"/>
          <w:sz w:val="24"/>
          <w:highlight w:val="none"/>
          <w:lang w:val="en-US" w:eastAsia="zh-CN"/>
        </w:rPr>
        <w:t>）</w:t>
      </w:r>
    </w:p>
    <w:p>
      <w:pPr>
        <w:spacing w:line="360" w:lineRule="auto"/>
        <w:rPr>
          <w:rFonts w:cs="Times New Roman"/>
          <w:color w:val="auto"/>
          <w:spacing w:val="6"/>
          <w:kern w:val="2"/>
          <w:sz w:val="24"/>
          <w:szCs w:val="24"/>
          <w:highlight w:val="none"/>
        </w:rPr>
      </w:pP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w:t>
      </w:r>
      <w:r>
        <w:rPr>
          <w:rFonts w:hint="eastAsia" w:cs="Times New Roman"/>
          <w:color w:val="auto"/>
          <w:kern w:val="2"/>
          <w:sz w:val="24"/>
          <w:szCs w:val="22"/>
          <w:highlight w:val="none"/>
        </w:rPr>
        <w:t>郑重</w:t>
      </w:r>
      <w:r>
        <w:rPr>
          <w:rFonts w:hint="eastAsia" w:cs="Times New Roman"/>
          <w:color w:val="auto"/>
          <w:spacing w:val="6"/>
          <w:kern w:val="2"/>
          <w:sz w:val="24"/>
          <w:szCs w:val="24"/>
          <w:highlight w:val="none"/>
        </w:rPr>
        <w:t>声明，根据《财政部 民政部 中国残疾人联合会关于促进残疾人就业政府采购政策的通知》（财库</w:t>
      </w:r>
      <w:r>
        <w:rPr>
          <w:rFonts w:hint="eastAsia" w:cs="Times New Roman"/>
          <w:color w:val="auto"/>
          <w:kern w:val="2"/>
          <w:sz w:val="24"/>
          <w:szCs w:val="24"/>
          <w:highlight w:val="none"/>
        </w:rPr>
        <w:t>〔2017〕141</w:t>
      </w:r>
      <w:r>
        <w:rPr>
          <w:rFonts w:hint="eastAsia" w:cs="Times New Roman"/>
          <w:color w:val="auto"/>
          <w:spacing w:val="6"/>
          <w:kern w:val="2"/>
          <w:sz w:val="24"/>
          <w:szCs w:val="24"/>
          <w:highlight w:val="none"/>
        </w:rPr>
        <w:t>号）的规定，本单位为</w:t>
      </w:r>
      <w:r>
        <w:rPr>
          <w:rFonts w:hint="eastAsia" w:cs="Times New Roman"/>
          <w:bCs/>
          <w:color w:val="auto"/>
          <w:kern w:val="2"/>
          <w:sz w:val="24"/>
          <w:szCs w:val="24"/>
          <w:highlight w:val="none"/>
        </w:rPr>
        <w:t>符合</w:t>
      </w:r>
      <w:r>
        <w:rPr>
          <w:rFonts w:hint="eastAsia" w:cs="Times New Roman"/>
          <w:color w:val="auto"/>
          <w:spacing w:val="6"/>
          <w:kern w:val="2"/>
          <w:sz w:val="24"/>
          <w:szCs w:val="24"/>
          <w:highlight w:val="none"/>
        </w:rPr>
        <w:t>条件的残疾人福利性单位，且本单位参加</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lang w:val="zh-CN"/>
        </w:rPr>
        <w:t>单位的</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lang w:val="zh-CN"/>
        </w:rPr>
        <w:t>项目</w:t>
      </w:r>
      <w:r>
        <w:rPr>
          <w:rFonts w:hint="eastAsia" w:cs="Times New Roman"/>
          <w:color w:val="auto"/>
          <w:spacing w:val="6"/>
          <w:kern w:val="2"/>
          <w:sz w:val="24"/>
          <w:szCs w:val="24"/>
          <w:highlight w:val="none"/>
        </w:rPr>
        <w:t>采购活动由本单位承担工程。</w:t>
      </w: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2" w:name="_Toc15906"/>
      <w:bookmarkStart w:id="733" w:name="_Toc16830"/>
      <w:bookmarkStart w:id="734"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、诚信履约承诺函</w:t>
      </w:r>
      <w:bookmarkEnd w:id="732"/>
      <w:bookmarkEnd w:id="733"/>
    </w:p>
    <w:p>
      <w:pPr>
        <w:spacing w:line="360" w:lineRule="auto"/>
        <w:rPr>
          <w:rFonts w:cs="@仿宋_GB2312" w:asciiTheme="minorEastAsia" w:hAnsiTheme="minorEastAsia" w:eastAsiaTheme="minorEastAsia"/>
          <w:b/>
          <w:bCs/>
          <w:color w:val="auto"/>
          <w:kern w:val="2"/>
          <w:sz w:val="24"/>
          <w:highlight w:val="none"/>
        </w:rPr>
      </w:pPr>
    </w:p>
    <w:p>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cs="@仿宋_GB2312" w:asciiTheme="minorEastAsia" w:hAnsiTheme="minorEastAsia" w:eastAsiaTheme="minorEastAsia"/>
          <w:bCs/>
          <w:color w:val="auto"/>
          <w:kern w:val="2"/>
          <w:sz w:val="24"/>
          <w:highlight w:val="none"/>
        </w:rPr>
      </w:pPr>
    </w:p>
    <w:p>
      <w:pPr>
        <w:spacing w:line="360" w:lineRule="auto"/>
        <w:rPr>
          <w:rFonts w:cs="@仿宋_GB2312" w:asciiTheme="minorEastAsia" w:hAnsiTheme="minorEastAsia" w:eastAsiaTheme="minorEastAsia"/>
          <w:bCs/>
          <w:color w:val="auto"/>
          <w:kern w:val="2"/>
          <w:sz w:val="24"/>
          <w:highlight w:val="none"/>
        </w:rPr>
      </w:pPr>
    </w:p>
    <w:p>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pPr>
        <w:spacing w:line="360" w:lineRule="auto"/>
        <w:ind w:firstLine="4320" w:firstLineChars="1800"/>
        <w:rPr>
          <w:rFonts w:asciiTheme="minorEastAsia" w:hAnsiTheme="minorEastAsia" w:eastAsiaTheme="minorEastAsia"/>
          <w:b/>
          <w:color w:val="auto"/>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734"/>
    <w:p>
      <w:pPr>
        <w:spacing w:line="360" w:lineRule="auto"/>
        <w:jc w:val="center"/>
        <w:outlineLvl w:val="1"/>
        <w:rPr>
          <w:rFonts w:asciiTheme="minorEastAsia" w:hAnsiTheme="minorEastAsia" w:eastAsiaTheme="minorEastAsia"/>
          <w:b/>
          <w:color w:val="auto"/>
          <w:sz w:val="24"/>
          <w:highlight w:val="none"/>
        </w:rPr>
      </w:pPr>
      <w:bookmarkStart w:id="735" w:name="_Toc13419"/>
      <w:bookmarkStart w:id="736" w:name="_Toc6061"/>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四</w:t>
      </w:r>
      <w:r>
        <w:rPr>
          <w:rFonts w:hint="eastAsia" w:asciiTheme="minorEastAsia" w:hAnsiTheme="minorEastAsia" w:eastAsiaTheme="minorEastAsia"/>
          <w:b/>
          <w:color w:val="auto"/>
          <w:sz w:val="24"/>
          <w:highlight w:val="none"/>
        </w:rPr>
        <w:t>、其他相关证明材料</w:t>
      </w:r>
      <w:bookmarkEnd w:id="735"/>
      <w:bookmarkEnd w:id="73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pStyle w:val="49"/>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pPr>
        <w:widowControl/>
        <w:jc w:val="left"/>
        <w:rPr>
          <w:bCs/>
          <w:color w:val="auto"/>
          <w:sz w:val="24"/>
          <w:highlight w:val="none"/>
        </w:rPr>
      </w:pPr>
    </w:p>
    <w:p>
      <w:pPr>
        <w:spacing w:line="360" w:lineRule="auto"/>
        <w:jc w:val="center"/>
        <w:outlineLvl w:val="0"/>
        <w:rPr>
          <w:b/>
          <w:bCs/>
          <w:color w:val="auto"/>
          <w:sz w:val="28"/>
          <w:highlight w:val="none"/>
        </w:rPr>
      </w:pPr>
      <w:bookmarkStart w:id="737" w:name="_Toc921"/>
      <w:bookmarkStart w:id="738" w:name="_Toc25478"/>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37"/>
      <w:bookmarkEnd w:id="738"/>
    </w:p>
    <w:p>
      <w:pPr>
        <w:spacing w:line="360" w:lineRule="auto"/>
        <w:jc w:val="center"/>
        <w:outlineLvl w:val="1"/>
        <w:rPr>
          <w:rFonts w:ascii="仿宋" w:hAnsi="仿宋" w:eastAsia="仿宋" w:cs="仿宋"/>
          <w:b/>
          <w:bCs/>
          <w:color w:val="auto"/>
          <w:sz w:val="32"/>
          <w:szCs w:val="44"/>
          <w:highlight w:val="none"/>
        </w:rPr>
      </w:pPr>
      <w:bookmarkStart w:id="739" w:name="_Toc7450"/>
      <w:bookmarkStart w:id="740" w:name="_Toc30776"/>
      <w:r>
        <w:rPr>
          <w:rFonts w:hint="eastAsia" w:ascii="仿宋" w:hAnsi="仿宋" w:eastAsia="仿宋" w:cs="仿宋"/>
          <w:b/>
          <w:bCs/>
          <w:color w:val="auto"/>
          <w:sz w:val="32"/>
          <w:szCs w:val="44"/>
          <w:highlight w:val="none"/>
        </w:rPr>
        <w:t>询问函范本</w:t>
      </w:r>
      <w:bookmarkEnd w:id="739"/>
      <w:bookmarkEnd w:id="74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741" w:name="_Toc13620"/>
      <w:r>
        <w:rPr>
          <w:rFonts w:hint="eastAsia" w:cs="仿宋" w:asciiTheme="minorEastAsia" w:hAnsiTheme="minorEastAsia" w:eastAsiaTheme="minorEastAsia"/>
          <w:color w:val="auto"/>
          <w:sz w:val="24"/>
          <w:szCs w:val="24"/>
          <w:highlight w:val="none"/>
        </w:rPr>
        <w:t>一、(事项一)</w:t>
      </w:r>
      <w:bookmarkEnd w:id="7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742" w:name="_Toc14277"/>
      <w:r>
        <w:rPr>
          <w:rFonts w:hint="eastAsia" w:cs="仿宋" w:asciiTheme="minorEastAsia" w:hAnsiTheme="minorEastAsia" w:eastAsiaTheme="minorEastAsia"/>
          <w:color w:val="auto"/>
          <w:sz w:val="24"/>
          <w:szCs w:val="24"/>
          <w:highlight w:val="none"/>
        </w:rPr>
        <w:t>二、(事项二)</w:t>
      </w:r>
      <w:bookmarkEnd w:id="74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743" w:name="_Toc16939"/>
      <w:bookmarkStart w:id="744" w:name="_Toc28125"/>
      <w:r>
        <w:rPr>
          <w:rFonts w:hint="eastAsia" w:ascii="仿宋" w:hAnsi="仿宋" w:eastAsia="仿宋" w:cs="仿宋"/>
          <w:b/>
          <w:bCs/>
          <w:color w:val="auto"/>
          <w:sz w:val="32"/>
          <w:szCs w:val="44"/>
          <w:highlight w:val="none"/>
        </w:rPr>
        <w:t>质疑函范本</w:t>
      </w:r>
      <w:bookmarkEnd w:id="743"/>
      <w:bookmarkEnd w:id="74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745" w:name="_Toc21660"/>
      <w:r>
        <w:rPr>
          <w:rFonts w:hint="eastAsia" w:cs="仿宋" w:asciiTheme="minorEastAsia" w:hAnsiTheme="minorEastAsia" w:eastAsiaTheme="minorEastAsia"/>
          <w:b/>
          <w:bCs/>
          <w:color w:val="auto"/>
          <w:sz w:val="24"/>
          <w:szCs w:val="24"/>
          <w:highlight w:val="none"/>
        </w:rPr>
        <w:t>一、质疑供应商基本信息</w:t>
      </w:r>
      <w:bookmarkEnd w:id="7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746" w:name="_Toc4238"/>
      <w:r>
        <w:rPr>
          <w:rFonts w:hint="eastAsia" w:cs="仿宋" w:asciiTheme="minorEastAsia" w:hAnsiTheme="minorEastAsia" w:eastAsiaTheme="minorEastAsia"/>
          <w:b/>
          <w:bCs/>
          <w:color w:val="auto"/>
          <w:sz w:val="24"/>
          <w:szCs w:val="24"/>
          <w:highlight w:val="none"/>
        </w:rPr>
        <w:t>二、质疑项目基本情况</w:t>
      </w:r>
      <w:bookmarkEnd w:id="74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747" w:name="_Toc10846"/>
      <w:r>
        <w:rPr>
          <w:rFonts w:hint="eastAsia" w:cs="仿宋" w:asciiTheme="minorEastAsia" w:hAnsiTheme="minorEastAsia" w:eastAsiaTheme="minorEastAsia"/>
          <w:b/>
          <w:bCs/>
          <w:color w:val="auto"/>
          <w:sz w:val="24"/>
          <w:szCs w:val="24"/>
          <w:highlight w:val="none"/>
        </w:rPr>
        <w:t>三、质疑事项具体内容</w:t>
      </w:r>
      <w:bookmarkEnd w:id="74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748" w:name="_Toc15784"/>
      <w:r>
        <w:rPr>
          <w:rFonts w:hint="eastAsia" w:cs="仿宋" w:asciiTheme="minorEastAsia" w:hAnsiTheme="minorEastAsia" w:eastAsiaTheme="minorEastAsia"/>
          <w:b/>
          <w:bCs/>
          <w:color w:val="auto"/>
          <w:sz w:val="24"/>
          <w:szCs w:val="24"/>
          <w:highlight w:val="none"/>
        </w:rPr>
        <w:t>四、与质疑事项相关的质疑请求</w:t>
      </w:r>
      <w:bookmarkEnd w:id="74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749" w:name="_Toc17542"/>
      <w:bookmarkStart w:id="750" w:name="_Toc23661"/>
      <w:r>
        <w:rPr>
          <w:rFonts w:hint="eastAsia" w:asciiTheme="minorEastAsia" w:hAnsiTheme="minorEastAsia" w:eastAsiaTheme="minorEastAsia"/>
          <w:b/>
          <w:color w:val="auto"/>
          <w:sz w:val="28"/>
          <w:szCs w:val="32"/>
          <w:highlight w:val="none"/>
        </w:rPr>
        <w:t>质疑函制作说明：</w:t>
      </w:r>
      <w:bookmarkEnd w:id="749"/>
      <w:bookmarkEnd w:id="7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简标宋">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3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2">
    <w:nsid w:val="7F7E5238"/>
    <w:multiLevelType w:val="multilevel"/>
    <w:tmpl w:val="7F7E5238"/>
    <w:lvl w:ilvl="0" w:tentative="0">
      <w:start w:val="1"/>
      <w:numFmt w:val="none"/>
      <w:pStyle w:val="168"/>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6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70"/>
      <w:lvlText w:val="           "/>
      <w:lvlJc w:val="left"/>
      <w:pPr>
        <w:tabs>
          <w:tab w:val="left" w:pos="1440"/>
        </w:tabs>
        <w:ind w:left="1152" w:hanging="1152"/>
      </w:pPr>
      <w:rPr>
        <w:rFonts w:hint="eastAsia"/>
      </w:rPr>
    </w:lvl>
    <w:lvl w:ilvl="6" w:tentative="0">
      <w:start w:val="1"/>
      <w:numFmt w:val="decimal"/>
      <w:pStyle w:val="172"/>
      <w:lvlText w:val="%1.%2.%3.%4.%5.%6.%7"/>
      <w:lvlJc w:val="left"/>
      <w:pPr>
        <w:tabs>
          <w:tab w:val="left" w:pos="2520"/>
        </w:tabs>
        <w:ind w:left="1296" w:hanging="1296"/>
      </w:pPr>
      <w:rPr>
        <w:rFonts w:hint="eastAsia"/>
      </w:rPr>
    </w:lvl>
    <w:lvl w:ilvl="7" w:tentative="0">
      <w:start w:val="1"/>
      <w:numFmt w:val="decimal"/>
      <w:pStyle w:val="174"/>
      <w:lvlText w:val="%1.%2.%3.%4.%5.%6.%7.%8"/>
      <w:lvlJc w:val="left"/>
      <w:pPr>
        <w:tabs>
          <w:tab w:val="left" w:pos="1440"/>
        </w:tabs>
        <w:ind w:left="1440" w:hanging="1440"/>
      </w:pPr>
      <w:rPr>
        <w:rFonts w:hint="eastAsia"/>
      </w:rPr>
    </w:lvl>
    <w:lvl w:ilvl="8" w:tentative="0">
      <w:start w:val="1"/>
      <w:numFmt w:val="decimal"/>
      <w:pStyle w:val="176"/>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48D2"/>
    <w:rsid w:val="00066AD7"/>
    <w:rsid w:val="00070E0E"/>
    <w:rsid w:val="0007146E"/>
    <w:rsid w:val="0007385B"/>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068"/>
    <w:rsid w:val="000C1DB1"/>
    <w:rsid w:val="000D3F37"/>
    <w:rsid w:val="000E3C74"/>
    <w:rsid w:val="000E3F9B"/>
    <w:rsid w:val="000E478E"/>
    <w:rsid w:val="000E6689"/>
    <w:rsid w:val="000E69B9"/>
    <w:rsid w:val="000F0EBF"/>
    <w:rsid w:val="000F172B"/>
    <w:rsid w:val="000F2198"/>
    <w:rsid w:val="000F39B6"/>
    <w:rsid w:val="000F3A94"/>
    <w:rsid w:val="000F6B7B"/>
    <w:rsid w:val="000F6F95"/>
    <w:rsid w:val="0010021F"/>
    <w:rsid w:val="00100B0F"/>
    <w:rsid w:val="00101448"/>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5F64"/>
    <w:rsid w:val="001571EE"/>
    <w:rsid w:val="00157856"/>
    <w:rsid w:val="00157B7B"/>
    <w:rsid w:val="00160729"/>
    <w:rsid w:val="0016455F"/>
    <w:rsid w:val="00165398"/>
    <w:rsid w:val="00166794"/>
    <w:rsid w:val="00166ED8"/>
    <w:rsid w:val="001714C9"/>
    <w:rsid w:val="00171515"/>
    <w:rsid w:val="00172073"/>
    <w:rsid w:val="001721FA"/>
    <w:rsid w:val="00172B93"/>
    <w:rsid w:val="0018119B"/>
    <w:rsid w:val="001844AB"/>
    <w:rsid w:val="001853C7"/>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503E"/>
    <w:rsid w:val="001D53B4"/>
    <w:rsid w:val="001E1835"/>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247F"/>
    <w:rsid w:val="00264F2E"/>
    <w:rsid w:val="00271245"/>
    <w:rsid w:val="00272B17"/>
    <w:rsid w:val="00273F66"/>
    <w:rsid w:val="00274A9E"/>
    <w:rsid w:val="00276BA1"/>
    <w:rsid w:val="00280984"/>
    <w:rsid w:val="002832CF"/>
    <w:rsid w:val="002835E3"/>
    <w:rsid w:val="00284542"/>
    <w:rsid w:val="002856FD"/>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2142"/>
    <w:rsid w:val="002E2D3A"/>
    <w:rsid w:val="002E3B26"/>
    <w:rsid w:val="002E4AB8"/>
    <w:rsid w:val="002E7FC4"/>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10B9"/>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7D7"/>
    <w:rsid w:val="004D3D4B"/>
    <w:rsid w:val="004D4557"/>
    <w:rsid w:val="004D5498"/>
    <w:rsid w:val="004D66A5"/>
    <w:rsid w:val="004D6B00"/>
    <w:rsid w:val="004E1D50"/>
    <w:rsid w:val="004E3266"/>
    <w:rsid w:val="004E38BA"/>
    <w:rsid w:val="004E3EB6"/>
    <w:rsid w:val="004E50CA"/>
    <w:rsid w:val="004F27A0"/>
    <w:rsid w:val="0050027D"/>
    <w:rsid w:val="00501382"/>
    <w:rsid w:val="00502831"/>
    <w:rsid w:val="005048FB"/>
    <w:rsid w:val="00510798"/>
    <w:rsid w:val="005119B5"/>
    <w:rsid w:val="005125F1"/>
    <w:rsid w:val="005150CC"/>
    <w:rsid w:val="00524A11"/>
    <w:rsid w:val="00527768"/>
    <w:rsid w:val="00530EA4"/>
    <w:rsid w:val="005327FB"/>
    <w:rsid w:val="00533251"/>
    <w:rsid w:val="00533FCA"/>
    <w:rsid w:val="005346EF"/>
    <w:rsid w:val="005369F1"/>
    <w:rsid w:val="005470D4"/>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4549"/>
    <w:rsid w:val="0060572E"/>
    <w:rsid w:val="00606EBA"/>
    <w:rsid w:val="00607471"/>
    <w:rsid w:val="00610A66"/>
    <w:rsid w:val="006119B8"/>
    <w:rsid w:val="00613177"/>
    <w:rsid w:val="00613F7C"/>
    <w:rsid w:val="00614BF2"/>
    <w:rsid w:val="0061557C"/>
    <w:rsid w:val="00623DE2"/>
    <w:rsid w:val="00627601"/>
    <w:rsid w:val="006300D0"/>
    <w:rsid w:val="00632012"/>
    <w:rsid w:val="00634694"/>
    <w:rsid w:val="00634D55"/>
    <w:rsid w:val="00636517"/>
    <w:rsid w:val="00636EE7"/>
    <w:rsid w:val="00637690"/>
    <w:rsid w:val="00637ED5"/>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DB1"/>
    <w:rsid w:val="00693404"/>
    <w:rsid w:val="006953D9"/>
    <w:rsid w:val="006A1269"/>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4550"/>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5E35"/>
    <w:rsid w:val="00830A4E"/>
    <w:rsid w:val="008334F8"/>
    <w:rsid w:val="00834249"/>
    <w:rsid w:val="00835FFD"/>
    <w:rsid w:val="0084381F"/>
    <w:rsid w:val="00843E35"/>
    <w:rsid w:val="008455A8"/>
    <w:rsid w:val="00845F72"/>
    <w:rsid w:val="0084791E"/>
    <w:rsid w:val="00850A91"/>
    <w:rsid w:val="008524CE"/>
    <w:rsid w:val="00857633"/>
    <w:rsid w:val="00862EAF"/>
    <w:rsid w:val="00863491"/>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633C"/>
    <w:rsid w:val="008D76DA"/>
    <w:rsid w:val="008D7DB2"/>
    <w:rsid w:val="008E449E"/>
    <w:rsid w:val="008E4BDD"/>
    <w:rsid w:val="008E770C"/>
    <w:rsid w:val="008F00F4"/>
    <w:rsid w:val="008F187F"/>
    <w:rsid w:val="008F402F"/>
    <w:rsid w:val="008F76E8"/>
    <w:rsid w:val="00904508"/>
    <w:rsid w:val="009078A1"/>
    <w:rsid w:val="00911E9C"/>
    <w:rsid w:val="0091345E"/>
    <w:rsid w:val="00917405"/>
    <w:rsid w:val="00920F7C"/>
    <w:rsid w:val="00922718"/>
    <w:rsid w:val="00924743"/>
    <w:rsid w:val="00932A87"/>
    <w:rsid w:val="00932F92"/>
    <w:rsid w:val="00934CAE"/>
    <w:rsid w:val="0093560E"/>
    <w:rsid w:val="0094257D"/>
    <w:rsid w:val="009443B6"/>
    <w:rsid w:val="00946F68"/>
    <w:rsid w:val="0095467C"/>
    <w:rsid w:val="00954A61"/>
    <w:rsid w:val="00955C6F"/>
    <w:rsid w:val="00956789"/>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E86"/>
    <w:rsid w:val="00A75185"/>
    <w:rsid w:val="00A754A0"/>
    <w:rsid w:val="00A757C3"/>
    <w:rsid w:val="00A75E5B"/>
    <w:rsid w:val="00A75F4B"/>
    <w:rsid w:val="00A7684A"/>
    <w:rsid w:val="00A77B8B"/>
    <w:rsid w:val="00A80C58"/>
    <w:rsid w:val="00A83B69"/>
    <w:rsid w:val="00A86533"/>
    <w:rsid w:val="00A91CA2"/>
    <w:rsid w:val="00A9220A"/>
    <w:rsid w:val="00A92FB8"/>
    <w:rsid w:val="00A948F1"/>
    <w:rsid w:val="00AA0BE3"/>
    <w:rsid w:val="00AA18F9"/>
    <w:rsid w:val="00AA1D7D"/>
    <w:rsid w:val="00AA2790"/>
    <w:rsid w:val="00AA3806"/>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39E3"/>
    <w:rsid w:val="00B06D36"/>
    <w:rsid w:val="00B12BC4"/>
    <w:rsid w:val="00B22838"/>
    <w:rsid w:val="00B30C9B"/>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27B"/>
    <w:rsid w:val="00B91826"/>
    <w:rsid w:val="00B91AEE"/>
    <w:rsid w:val="00B93568"/>
    <w:rsid w:val="00B95F5A"/>
    <w:rsid w:val="00B96EAD"/>
    <w:rsid w:val="00BA4B7C"/>
    <w:rsid w:val="00BA79F5"/>
    <w:rsid w:val="00BA7EA7"/>
    <w:rsid w:val="00BB30B2"/>
    <w:rsid w:val="00BB3AB6"/>
    <w:rsid w:val="00BB766D"/>
    <w:rsid w:val="00BC007B"/>
    <w:rsid w:val="00BC26BA"/>
    <w:rsid w:val="00BC35F8"/>
    <w:rsid w:val="00BC403F"/>
    <w:rsid w:val="00BC481B"/>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13A88"/>
    <w:rsid w:val="00C220FC"/>
    <w:rsid w:val="00C24DFA"/>
    <w:rsid w:val="00C24F9D"/>
    <w:rsid w:val="00C2521C"/>
    <w:rsid w:val="00C30182"/>
    <w:rsid w:val="00C31FC9"/>
    <w:rsid w:val="00C37581"/>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23D"/>
    <w:rsid w:val="00CB14E5"/>
    <w:rsid w:val="00CB218D"/>
    <w:rsid w:val="00CB377B"/>
    <w:rsid w:val="00CB5625"/>
    <w:rsid w:val="00CB5797"/>
    <w:rsid w:val="00CC1400"/>
    <w:rsid w:val="00CC1C17"/>
    <w:rsid w:val="00CC4F7F"/>
    <w:rsid w:val="00CD09E1"/>
    <w:rsid w:val="00CE1780"/>
    <w:rsid w:val="00CE4913"/>
    <w:rsid w:val="00CE66BD"/>
    <w:rsid w:val="00CF0671"/>
    <w:rsid w:val="00CF247A"/>
    <w:rsid w:val="00CF44AD"/>
    <w:rsid w:val="00CF4D7C"/>
    <w:rsid w:val="00CF4FC0"/>
    <w:rsid w:val="00CF7486"/>
    <w:rsid w:val="00D1072F"/>
    <w:rsid w:val="00D108A5"/>
    <w:rsid w:val="00D12CF8"/>
    <w:rsid w:val="00D14585"/>
    <w:rsid w:val="00D153C8"/>
    <w:rsid w:val="00D169F2"/>
    <w:rsid w:val="00D20EFF"/>
    <w:rsid w:val="00D236BB"/>
    <w:rsid w:val="00D3019D"/>
    <w:rsid w:val="00D31324"/>
    <w:rsid w:val="00D4386E"/>
    <w:rsid w:val="00D51432"/>
    <w:rsid w:val="00D53ED8"/>
    <w:rsid w:val="00D541A0"/>
    <w:rsid w:val="00D54BB8"/>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0F82"/>
    <w:rsid w:val="00D945DC"/>
    <w:rsid w:val="00D95E90"/>
    <w:rsid w:val="00D96126"/>
    <w:rsid w:val="00DA2FD5"/>
    <w:rsid w:val="00DB0C86"/>
    <w:rsid w:val="00DB4B1C"/>
    <w:rsid w:val="00DB5085"/>
    <w:rsid w:val="00DB619F"/>
    <w:rsid w:val="00DB7211"/>
    <w:rsid w:val="00DC1062"/>
    <w:rsid w:val="00DC132C"/>
    <w:rsid w:val="00DC181A"/>
    <w:rsid w:val="00DC5727"/>
    <w:rsid w:val="00DD149F"/>
    <w:rsid w:val="00DD43F0"/>
    <w:rsid w:val="00DD44DE"/>
    <w:rsid w:val="00DE09AB"/>
    <w:rsid w:val="00DE352F"/>
    <w:rsid w:val="00DE4A3F"/>
    <w:rsid w:val="00DE5A99"/>
    <w:rsid w:val="00DF4367"/>
    <w:rsid w:val="00DF7291"/>
    <w:rsid w:val="00E03FF0"/>
    <w:rsid w:val="00E0574A"/>
    <w:rsid w:val="00E1243D"/>
    <w:rsid w:val="00E12742"/>
    <w:rsid w:val="00E146D4"/>
    <w:rsid w:val="00E14815"/>
    <w:rsid w:val="00E21D37"/>
    <w:rsid w:val="00E220ED"/>
    <w:rsid w:val="00E22B44"/>
    <w:rsid w:val="00E233AD"/>
    <w:rsid w:val="00E2457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4BB4"/>
    <w:rsid w:val="00ED5C9F"/>
    <w:rsid w:val="00EE050C"/>
    <w:rsid w:val="00EE2113"/>
    <w:rsid w:val="00EE34D0"/>
    <w:rsid w:val="00EE5730"/>
    <w:rsid w:val="00EE6E9A"/>
    <w:rsid w:val="00EF2AC4"/>
    <w:rsid w:val="00EF397E"/>
    <w:rsid w:val="00F0340C"/>
    <w:rsid w:val="00F04CED"/>
    <w:rsid w:val="00F06F68"/>
    <w:rsid w:val="00F11241"/>
    <w:rsid w:val="00F11D35"/>
    <w:rsid w:val="00F15E9D"/>
    <w:rsid w:val="00F23FA7"/>
    <w:rsid w:val="00F24C2D"/>
    <w:rsid w:val="00F272C4"/>
    <w:rsid w:val="00F27D59"/>
    <w:rsid w:val="00F316E1"/>
    <w:rsid w:val="00F31BE4"/>
    <w:rsid w:val="00F32155"/>
    <w:rsid w:val="00F32A81"/>
    <w:rsid w:val="00F40C82"/>
    <w:rsid w:val="00F4197F"/>
    <w:rsid w:val="00F41F2C"/>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B0453"/>
    <w:rsid w:val="00FB0C07"/>
    <w:rsid w:val="00FB298D"/>
    <w:rsid w:val="00FB3171"/>
    <w:rsid w:val="00FB444E"/>
    <w:rsid w:val="00FB5DC9"/>
    <w:rsid w:val="00FC1439"/>
    <w:rsid w:val="00FC3F65"/>
    <w:rsid w:val="00FC5007"/>
    <w:rsid w:val="00FC724B"/>
    <w:rsid w:val="00FC7910"/>
    <w:rsid w:val="00FD01E0"/>
    <w:rsid w:val="00FD50FC"/>
    <w:rsid w:val="00FE1627"/>
    <w:rsid w:val="00FE2D4E"/>
    <w:rsid w:val="00FE4C3C"/>
    <w:rsid w:val="00FF092F"/>
    <w:rsid w:val="00FF0DA7"/>
    <w:rsid w:val="00FF2DF6"/>
    <w:rsid w:val="00FF44E0"/>
    <w:rsid w:val="00FF6C72"/>
    <w:rsid w:val="015659DA"/>
    <w:rsid w:val="03EF075E"/>
    <w:rsid w:val="05AC0D47"/>
    <w:rsid w:val="062C3E14"/>
    <w:rsid w:val="06CE52A8"/>
    <w:rsid w:val="0726460B"/>
    <w:rsid w:val="074D717F"/>
    <w:rsid w:val="07C16525"/>
    <w:rsid w:val="0AD835BA"/>
    <w:rsid w:val="0AF87D87"/>
    <w:rsid w:val="0BE33FF4"/>
    <w:rsid w:val="0C6852C9"/>
    <w:rsid w:val="0F960BD1"/>
    <w:rsid w:val="103D2038"/>
    <w:rsid w:val="1056270F"/>
    <w:rsid w:val="11956312"/>
    <w:rsid w:val="12067E67"/>
    <w:rsid w:val="12FC1310"/>
    <w:rsid w:val="14257B28"/>
    <w:rsid w:val="14442136"/>
    <w:rsid w:val="17750F09"/>
    <w:rsid w:val="1784011D"/>
    <w:rsid w:val="18F5648F"/>
    <w:rsid w:val="19E155F7"/>
    <w:rsid w:val="1DE52AD1"/>
    <w:rsid w:val="1E711203"/>
    <w:rsid w:val="1F3276F4"/>
    <w:rsid w:val="1FEE0D9C"/>
    <w:rsid w:val="20C11F53"/>
    <w:rsid w:val="23907598"/>
    <w:rsid w:val="23E06A22"/>
    <w:rsid w:val="242C3F8C"/>
    <w:rsid w:val="2449262D"/>
    <w:rsid w:val="24673AC7"/>
    <w:rsid w:val="246F40D7"/>
    <w:rsid w:val="24774A18"/>
    <w:rsid w:val="24A06DFA"/>
    <w:rsid w:val="25B10902"/>
    <w:rsid w:val="26D97A21"/>
    <w:rsid w:val="278A787E"/>
    <w:rsid w:val="27AA76B5"/>
    <w:rsid w:val="27E85AF1"/>
    <w:rsid w:val="28090FC9"/>
    <w:rsid w:val="296333CC"/>
    <w:rsid w:val="297406FE"/>
    <w:rsid w:val="29B368CB"/>
    <w:rsid w:val="2B806CA3"/>
    <w:rsid w:val="2B9B0870"/>
    <w:rsid w:val="2BED6E09"/>
    <w:rsid w:val="2D1633EB"/>
    <w:rsid w:val="2E3D3BD6"/>
    <w:rsid w:val="302E5052"/>
    <w:rsid w:val="30522E72"/>
    <w:rsid w:val="32D94B0D"/>
    <w:rsid w:val="3321791E"/>
    <w:rsid w:val="350E7D08"/>
    <w:rsid w:val="361D268E"/>
    <w:rsid w:val="377E398B"/>
    <w:rsid w:val="37A37610"/>
    <w:rsid w:val="38AF2CB3"/>
    <w:rsid w:val="3B92336A"/>
    <w:rsid w:val="3D464925"/>
    <w:rsid w:val="3E8E1868"/>
    <w:rsid w:val="40254DC4"/>
    <w:rsid w:val="407B7BAD"/>
    <w:rsid w:val="42842924"/>
    <w:rsid w:val="465C4C5A"/>
    <w:rsid w:val="469E3992"/>
    <w:rsid w:val="47FA40E1"/>
    <w:rsid w:val="485E6108"/>
    <w:rsid w:val="48665B32"/>
    <w:rsid w:val="49B276EA"/>
    <w:rsid w:val="49BF2A4F"/>
    <w:rsid w:val="4CCB12D0"/>
    <w:rsid w:val="4EA15069"/>
    <w:rsid w:val="4FC350DF"/>
    <w:rsid w:val="500718A1"/>
    <w:rsid w:val="51973BEE"/>
    <w:rsid w:val="52CB277F"/>
    <w:rsid w:val="54CD3304"/>
    <w:rsid w:val="55131DDA"/>
    <w:rsid w:val="556C28C7"/>
    <w:rsid w:val="565B309E"/>
    <w:rsid w:val="56C66210"/>
    <w:rsid w:val="5809250B"/>
    <w:rsid w:val="58170ED4"/>
    <w:rsid w:val="5C391541"/>
    <w:rsid w:val="5CA01A5A"/>
    <w:rsid w:val="5D1350D5"/>
    <w:rsid w:val="5DF97B87"/>
    <w:rsid w:val="5E9241C4"/>
    <w:rsid w:val="5F722862"/>
    <w:rsid w:val="60705C16"/>
    <w:rsid w:val="6295006F"/>
    <w:rsid w:val="64EA414E"/>
    <w:rsid w:val="66A009FE"/>
    <w:rsid w:val="68FE6526"/>
    <w:rsid w:val="692F6511"/>
    <w:rsid w:val="6A3B3D97"/>
    <w:rsid w:val="6B0F2FA0"/>
    <w:rsid w:val="6BA95B9A"/>
    <w:rsid w:val="6D674868"/>
    <w:rsid w:val="6E087F44"/>
    <w:rsid w:val="6E672132"/>
    <w:rsid w:val="72743DB7"/>
    <w:rsid w:val="72C62AF2"/>
    <w:rsid w:val="730A0F49"/>
    <w:rsid w:val="736E72E6"/>
    <w:rsid w:val="73C963C3"/>
    <w:rsid w:val="74AE38FD"/>
    <w:rsid w:val="74FC2405"/>
    <w:rsid w:val="753F634B"/>
    <w:rsid w:val="76797C2F"/>
    <w:rsid w:val="76FC1307"/>
    <w:rsid w:val="795F2373"/>
    <w:rsid w:val="799B26EC"/>
    <w:rsid w:val="79FA090D"/>
    <w:rsid w:val="7AFD5272"/>
    <w:rsid w:val="7B021ACD"/>
    <w:rsid w:val="7B1E7CC8"/>
    <w:rsid w:val="7C312D2E"/>
    <w:rsid w:val="7D3B4910"/>
    <w:rsid w:val="7F285D26"/>
    <w:rsid w:val="7FBA7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heme="minorBidi"/>
      <w:lang w:val="en-US" w:eastAsia="zh-CN" w:bidi="ar-SA"/>
    </w:rPr>
  </w:style>
  <w:style w:type="paragraph" w:styleId="3">
    <w:name w:val="heading 1"/>
    <w:basedOn w:val="1"/>
    <w:next w:val="1"/>
    <w:link w:val="8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95"/>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5">
    <w:name w:val="heading 3"/>
    <w:basedOn w:val="1"/>
    <w:next w:val="1"/>
    <w:link w:val="84"/>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89"/>
    <w:qFormat/>
    <w:uiPriority w:val="0"/>
    <w:pPr>
      <w:keepNext/>
      <w:keepLines/>
      <w:spacing w:before="280" w:after="290" w:line="376" w:lineRule="auto"/>
      <w:outlineLvl w:val="3"/>
    </w:pPr>
    <w:rPr>
      <w:b/>
      <w:bCs/>
      <w:sz w:val="28"/>
      <w:szCs w:val="28"/>
    </w:rPr>
  </w:style>
  <w:style w:type="paragraph" w:styleId="7">
    <w:name w:val="heading 5"/>
    <w:basedOn w:val="1"/>
    <w:next w:val="1"/>
    <w:link w:val="96"/>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8">
    <w:name w:val="heading 6"/>
    <w:basedOn w:val="7"/>
    <w:next w:val="1"/>
    <w:link w:val="97"/>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9">
    <w:name w:val="heading 7"/>
    <w:basedOn w:val="8"/>
    <w:next w:val="1"/>
    <w:link w:val="98"/>
    <w:qFormat/>
    <w:uiPriority w:val="0"/>
    <w:pPr>
      <w:tabs>
        <w:tab w:val="left" w:pos="1800"/>
        <w:tab w:val="clear" w:pos="1440"/>
      </w:tabs>
      <w:ind w:left="1276" w:hanging="1276"/>
      <w:outlineLvl w:val="6"/>
    </w:pPr>
  </w:style>
  <w:style w:type="paragraph" w:styleId="10">
    <w:name w:val="heading 8"/>
    <w:basedOn w:val="1"/>
    <w:next w:val="1"/>
    <w:link w:val="99"/>
    <w:qFormat/>
    <w:uiPriority w:val="0"/>
    <w:pPr>
      <w:keepNext/>
      <w:keepLines/>
      <w:spacing w:line="400" w:lineRule="exact"/>
      <w:jc w:val="center"/>
      <w:outlineLvl w:val="7"/>
    </w:pPr>
    <w:rPr>
      <w:rFonts w:eastAsia="黑体" w:cs="Times New Roman"/>
      <w:kern w:val="2"/>
      <w:sz w:val="32"/>
      <w:szCs w:val="32"/>
      <w:lang w:val="zh-CN"/>
    </w:rPr>
  </w:style>
  <w:style w:type="paragraph" w:styleId="11">
    <w:name w:val="heading 9"/>
    <w:basedOn w:val="1"/>
    <w:next w:val="1"/>
    <w:link w:val="100"/>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5">
    <w:name w:val="Default Paragraph Font"/>
    <w:semiHidden/>
    <w:unhideWhenUsed/>
    <w:qFormat/>
    <w:uiPriority w:val="1"/>
  </w:style>
  <w:style w:type="table" w:default="1" w:styleId="5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90"/>
    <w:qFormat/>
    <w:uiPriority w:val="0"/>
    <w:pPr>
      <w:spacing w:after="120"/>
    </w:pPr>
    <w:rPr>
      <w:rFonts w:ascii="@微软简标宋" w:hAnsi="@微软简标宋" w:eastAsia="@微软简标宋" w:cs="@微软简标宋"/>
      <w:szCs w:val="24"/>
      <w:lang w:val="zh-CN"/>
    </w:rPr>
  </w:style>
  <w:style w:type="paragraph" w:styleId="12">
    <w:name w:val="List 3"/>
    <w:basedOn w:val="1"/>
    <w:qFormat/>
    <w:uiPriority w:val="0"/>
    <w:pPr>
      <w:ind w:left="100" w:leftChars="400" w:hanging="200" w:hangingChars="200"/>
    </w:pPr>
    <w:rPr>
      <w:rFonts w:ascii="Calibri" w:hAnsi="Calibri" w:cs="Times New Roman"/>
      <w:kern w:val="2"/>
      <w:sz w:val="21"/>
      <w:szCs w:val="22"/>
    </w:rPr>
  </w:style>
  <w:style w:type="paragraph" w:styleId="13">
    <w:name w:val="toc 7"/>
    <w:basedOn w:val="1"/>
    <w:next w:val="1"/>
    <w:unhideWhenUsed/>
    <w:qFormat/>
    <w:uiPriority w:val="39"/>
    <w:pPr>
      <w:ind w:left="1260"/>
      <w:jc w:val="left"/>
    </w:pPr>
    <w:rPr>
      <w:rFonts w:ascii="Calibri" w:hAnsi="Calibri" w:cs="Calibri"/>
      <w:kern w:val="2"/>
      <w:sz w:val="18"/>
      <w:szCs w:val="18"/>
    </w:rPr>
  </w:style>
  <w:style w:type="paragraph" w:styleId="14">
    <w:name w:val="Normal Indent"/>
    <w:basedOn w:val="1"/>
    <w:qFormat/>
    <w:uiPriority w:val="0"/>
    <w:pPr>
      <w:autoSpaceDE w:val="0"/>
      <w:autoSpaceDN w:val="0"/>
      <w:adjustRightInd w:val="0"/>
      <w:ind w:firstLine="420"/>
      <w:jc w:val="left"/>
    </w:pPr>
    <w:rPr>
      <w:rFonts w:hAnsi="Times New Roman" w:cs="Times New Roman"/>
      <w:sz w:val="24"/>
    </w:rPr>
  </w:style>
  <w:style w:type="paragraph" w:styleId="15">
    <w:name w:val="caption"/>
    <w:basedOn w:val="1"/>
    <w:next w:val="1"/>
    <w:qFormat/>
    <w:uiPriority w:val="0"/>
    <w:pPr>
      <w:spacing w:before="152" w:after="160"/>
    </w:pPr>
    <w:rPr>
      <w:rFonts w:ascii="Arial" w:hAnsi="Arial" w:eastAsia="黑体" w:cs="Arial"/>
      <w:kern w:val="2"/>
    </w:rPr>
  </w:style>
  <w:style w:type="paragraph" w:styleId="16">
    <w:name w:val="Document Map"/>
    <w:basedOn w:val="1"/>
    <w:link w:val="145"/>
    <w:qFormat/>
    <w:uiPriority w:val="0"/>
    <w:pPr>
      <w:shd w:val="clear" w:color="auto" w:fill="000080"/>
    </w:pPr>
    <w:rPr>
      <w:rFonts w:ascii="Calibri" w:hAnsi="Calibri" w:cs="Times New Roman"/>
      <w:bCs/>
      <w:kern w:val="2"/>
      <w:sz w:val="21"/>
      <w:szCs w:val="32"/>
      <w:lang w:val="zh-CN"/>
    </w:rPr>
  </w:style>
  <w:style w:type="paragraph" w:styleId="17">
    <w:name w:val="annotation text"/>
    <w:basedOn w:val="1"/>
    <w:link w:val="81"/>
    <w:qFormat/>
    <w:uiPriority w:val="0"/>
    <w:pPr>
      <w:jc w:val="left"/>
    </w:pPr>
    <w:rPr>
      <w:rFonts w:ascii="Arial" w:hAnsi="Arial" w:eastAsia="黑体" w:cs="Arial"/>
    </w:rPr>
  </w:style>
  <w:style w:type="paragraph" w:styleId="18">
    <w:name w:val="Salutation"/>
    <w:basedOn w:val="1"/>
    <w:next w:val="1"/>
    <w:link w:val="111"/>
    <w:qFormat/>
    <w:uiPriority w:val="0"/>
    <w:rPr>
      <w:rFonts w:ascii="仿宋_GB2312" w:hAnsi="Times New Roman" w:eastAsia="仿宋_GB2312" w:cs="Times New Roman"/>
      <w:kern w:val="2"/>
      <w:sz w:val="28"/>
      <w:lang w:val="zh-CN"/>
    </w:rPr>
  </w:style>
  <w:style w:type="paragraph" w:styleId="19">
    <w:name w:val="Body Text 3"/>
    <w:basedOn w:val="1"/>
    <w:link w:val="131"/>
    <w:qFormat/>
    <w:uiPriority w:val="0"/>
    <w:pPr>
      <w:adjustRightInd w:val="0"/>
      <w:snapToGrid w:val="0"/>
    </w:pPr>
    <w:rPr>
      <w:rFonts w:ascii="仿宋_GB2312" w:eastAsia="仿宋_GB2312" w:cs="Times New Roman"/>
      <w:bCs/>
      <w:color w:val="000000"/>
      <w:kern w:val="2"/>
      <w:sz w:val="24"/>
      <w:szCs w:val="32"/>
      <w:lang w:val="zh-CN"/>
    </w:rPr>
  </w:style>
  <w:style w:type="paragraph" w:styleId="20">
    <w:name w:val="Body Text Indent"/>
    <w:basedOn w:val="1"/>
    <w:link w:val="105"/>
    <w:unhideWhenUsed/>
    <w:qFormat/>
    <w:uiPriority w:val="0"/>
    <w:pPr>
      <w:spacing w:after="120"/>
      <w:ind w:left="420" w:leftChars="200"/>
    </w:pPr>
    <w:rPr>
      <w:rFonts w:asciiTheme="minorHAnsi" w:hAnsiTheme="minorHAnsi"/>
      <w:kern w:val="2"/>
      <w:sz w:val="21"/>
      <w:szCs w:val="22"/>
    </w:rPr>
  </w:style>
  <w:style w:type="paragraph" w:styleId="21">
    <w:name w:val="List 2"/>
    <w:basedOn w:val="1"/>
    <w:qFormat/>
    <w:uiPriority w:val="0"/>
    <w:pPr>
      <w:ind w:left="100" w:leftChars="200" w:hanging="200" w:hangingChars="200"/>
    </w:pPr>
    <w:rPr>
      <w:rFonts w:ascii="Calibri" w:hAnsi="Calibri" w:cs="Times New Roman"/>
      <w:kern w:val="2"/>
      <w:sz w:val="21"/>
      <w:szCs w:val="22"/>
    </w:rPr>
  </w:style>
  <w:style w:type="paragraph" w:styleId="22">
    <w:name w:val="List Continue"/>
    <w:basedOn w:val="1"/>
    <w:qFormat/>
    <w:uiPriority w:val="0"/>
    <w:pPr>
      <w:spacing w:after="120"/>
      <w:ind w:left="420" w:leftChars="200"/>
    </w:pPr>
    <w:rPr>
      <w:rFonts w:ascii="Calibri" w:hAnsi="Calibri" w:cs="Times New Roman"/>
      <w:kern w:val="2"/>
      <w:sz w:val="21"/>
      <w:szCs w:val="22"/>
    </w:rPr>
  </w:style>
  <w:style w:type="paragraph" w:styleId="23">
    <w:name w:val="Block Text"/>
    <w:basedOn w:val="1"/>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4">
    <w:name w:val="index 4"/>
    <w:basedOn w:val="1"/>
    <w:next w:val="1"/>
    <w:qFormat/>
    <w:uiPriority w:val="0"/>
    <w:pPr>
      <w:ind w:left="600" w:leftChars="600"/>
    </w:pPr>
    <w:rPr>
      <w:rFonts w:ascii="Times New Roman" w:hAnsi="Times New Roman" w:cs="Times New Roman"/>
      <w:kern w:val="2"/>
      <w:sz w:val="21"/>
      <w:szCs w:val="24"/>
    </w:rPr>
  </w:style>
  <w:style w:type="paragraph" w:styleId="25">
    <w:name w:val="toc 5"/>
    <w:basedOn w:val="1"/>
    <w:next w:val="1"/>
    <w:unhideWhenUsed/>
    <w:qFormat/>
    <w:uiPriority w:val="39"/>
    <w:pPr>
      <w:ind w:left="840"/>
      <w:jc w:val="left"/>
    </w:pPr>
    <w:rPr>
      <w:rFonts w:ascii="Calibri" w:hAnsi="Calibri" w:cs="Calibri"/>
      <w:kern w:val="2"/>
      <w:sz w:val="18"/>
      <w:szCs w:val="18"/>
    </w:rPr>
  </w:style>
  <w:style w:type="paragraph" w:styleId="26">
    <w:name w:val="toc 3"/>
    <w:basedOn w:val="1"/>
    <w:next w:val="1"/>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7">
    <w:name w:val="Plain Text"/>
    <w:basedOn w:val="1"/>
    <w:link w:val="70"/>
    <w:qFormat/>
    <w:uiPriority w:val="0"/>
    <w:rPr>
      <w:rFonts w:hAnsi="Courier New" w:eastAsiaTheme="minorEastAsia"/>
      <w:szCs w:val="22"/>
    </w:rPr>
  </w:style>
  <w:style w:type="paragraph" w:styleId="28">
    <w:name w:val="toc 8"/>
    <w:basedOn w:val="1"/>
    <w:next w:val="1"/>
    <w:unhideWhenUsed/>
    <w:qFormat/>
    <w:uiPriority w:val="39"/>
    <w:pPr>
      <w:ind w:left="1470"/>
      <w:jc w:val="left"/>
    </w:pPr>
    <w:rPr>
      <w:rFonts w:ascii="Calibri" w:hAnsi="Calibri" w:cs="Calibri"/>
      <w:kern w:val="2"/>
      <w:sz w:val="18"/>
      <w:szCs w:val="18"/>
    </w:rPr>
  </w:style>
  <w:style w:type="paragraph" w:styleId="29">
    <w:name w:val="Date"/>
    <w:basedOn w:val="1"/>
    <w:next w:val="1"/>
    <w:link w:val="77"/>
    <w:qFormat/>
    <w:uiPriority w:val="0"/>
    <w:rPr>
      <w:rFonts w:ascii="Arial" w:hAnsi="Arial" w:cs="Arial"/>
      <w:b/>
      <w:sz w:val="28"/>
    </w:rPr>
  </w:style>
  <w:style w:type="paragraph" w:styleId="30">
    <w:name w:val="Body Text Indent 2"/>
    <w:basedOn w:val="1"/>
    <w:link w:val="127"/>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1">
    <w:name w:val="Balloon Text"/>
    <w:basedOn w:val="1"/>
    <w:link w:val="64"/>
    <w:unhideWhenUsed/>
    <w:qFormat/>
    <w:uiPriority w:val="0"/>
    <w:rPr>
      <w:sz w:val="18"/>
      <w:szCs w:val="18"/>
    </w:rPr>
  </w:style>
  <w:style w:type="paragraph" w:styleId="32">
    <w:name w:val="footer"/>
    <w:basedOn w:val="1"/>
    <w:link w:val="69"/>
    <w:unhideWhenUsed/>
    <w:qFormat/>
    <w:uiPriority w:val="99"/>
    <w:pPr>
      <w:tabs>
        <w:tab w:val="center" w:pos="4153"/>
        <w:tab w:val="right" w:pos="8306"/>
      </w:tabs>
      <w:snapToGrid w:val="0"/>
      <w:jc w:val="left"/>
    </w:pPr>
    <w:rPr>
      <w:sz w:val="18"/>
      <w:szCs w:val="18"/>
    </w:rPr>
  </w:style>
  <w:style w:type="paragraph" w:styleId="33">
    <w:name w:val="header"/>
    <w:basedOn w:val="1"/>
    <w:link w:val="68"/>
    <w:unhideWhenUsed/>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unhideWhenUsed/>
    <w:qFormat/>
    <w:uiPriority w:val="39"/>
    <w:pPr>
      <w:widowControl/>
      <w:spacing w:after="100" w:line="276" w:lineRule="auto"/>
      <w:jc w:val="left"/>
    </w:pPr>
    <w:rPr>
      <w:rFonts w:asciiTheme="minorHAnsi" w:hAnsiTheme="minorHAnsi" w:eastAsiaTheme="minorEastAsia"/>
      <w:sz w:val="22"/>
      <w:szCs w:val="22"/>
    </w:rPr>
  </w:style>
  <w:style w:type="paragraph" w:styleId="35">
    <w:name w:val="List Continue 4"/>
    <w:basedOn w:val="1"/>
    <w:qFormat/>
    <w:uiPriority w:val="0"/>
    <w:pPr>
      <w:spacing w:after="120"/>
      <w:ind w:left="1680" w:leftChars="800"/>
    </w:pPr>
    <w:rPr>
      <w:rFonts w:ascii="Calibri" w:hAnsi="Calibri" w:cs="Times New Roman"/>
      <w:kern w:val="2"/>
      <w:sz w:val="21"/>
      <w:szCs w:val="22"/>
    </w:rPr>
  </w:style>
  <w:style w:type="paragraph" w:styleId="36">
    <w:name w:val="toc 4"/>
    <w:basedOn w:val="1"/>
    <w:next w:val="1"/>
    <w:unhideWhenUsed/>
    <w:qFormat/>
    <w:uiPriority w:val="39"/>
    <w:pPr>
      <w:ind w:left="630"/>
      <w:jc w:val="left"/>
    </w:pPr>
    <w:rPr>
      <w:rFonts w:ascii="Calibri" w:hAnsi="Calibri" w:cs="Calibri"/>
      <w:kern w:val="2"/>
      <w:sz w:val="18"/>
      <w:szCs w:val="18"/>
    </w:rPr>
  </w:style>
  <w:style w:type="paragraph" w:styleId="37">
    <w:name w:val="index heading"/>
    <w:basedOn w:val="1"/>
    <w:next w:val="38"/>
    <w:semiHidden/>
    <w:qFormat/>
    <w:uiPriority w:val="0"/>
    <w:rPr>
      <w:rFonts w:ascii="Times New Roman" w:hAnsi="Times New Roman" w:cs="Times New Roman"/>
      <w:kern w:val="2"/>
      <w:sz w:val="21"/>
      <w:szCs w:val="24"/>
    </w:rPr>
  </w:style>
  <w:style w:type="paragraph" w:styleId="38">
    <w:name w:val="index 1"/>
    <w:basedOn w:val="1"/>
    <w:next w:val="1"/>
    <w:qFormat/>
    <w:uiPriority w:val="0"/>
    <w:pPr>
      <w:jc w:val="center"/>
    </w:pPr>
    <w:rPr>
      <w:rFonts w:ascii="Arial" w:hAnsi="Arial" w:eastAsia="Arial" w:cs="Arial"/>
      <w:b/>
      <w:bCs/>
      <w:sz w:val="28"/>
    </w:rPr>
  </w:style>
  <w:style w:type="paragraph" w:styleId="39">
    <w:name w:val="Subtitle"/>
    <w:basedOn w:val="1"/>
    <w:link w:val="219"/>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0">
    <w:name w:val="List"/>
    <w:basedOn w:val="1"/>
    <w:qFormat/>
    <w:uiPriority w:val="0"/>
    <w:pPr>
      <w:ind w:left="200" w:hanging="200" w:hangingChars="200"/>
    </w:pPr>
    <w:rPr>
      <w:rFonts w:ascii="Calibri" w:hAnsi="Calibri" w:cs="Times New Roman"/>
      <w:kern w:val="2"/>
      <w:sz w:val="21"/>
      <w:szCs w:val="22"/>
    </w:rPr>
  </w:style>
  <w:style w:type="paragraph" w:styleId="41">
    <w:name w:val="footnote text"/>
    <w:basedOn w:val="1"/>
    <w:link w:val="107"/>
    <w:unhideWhenUsed/>
    <w:qFormat/>
    <w:uiPriority w:val="0"/>
    <w:pPr>
      <w:snapToGrid w:val="0"/>
      <w:jc w:val="left"/>
    </w:pPr>
    <w:rPr>
      <w:rFonts w:ascii="Times New Roman" w:hAnsi="Times New Roman" w:cs="Times New Roman"/>
      <w:kern w:val="2"/>
      <w:sz w:val="18"/>
      <w:szCs w:val="18"/>
      <w:lang w:val="zh-CN"/>
    </w:rPr>
  </w:style>
  <w:style w:type="paragraph" w:styleId="42">
    <w:name w:val="toc 6"/>
    <w:basedOn w:val="1"/>
    <w:next w:val="1"/>
    <w:unhideWhenUsed/>
    <w:qFormat/>
    <w:uiPriority w:val="39"/>
    <w:pPr>
      <w:ind w:left="1050"/>
      <w:jc w:val="left"/>
    </w:pPr>
    <w:rPr>
      <w:rFonts w:ascii="Calibri" w:hAnsi="Calibri" w:cs="Calibri"/>
      <w:kern w:val="2"/>
      <w:sz w:val="18"/>
      <w:szCs w:val="18"/>
    </w:rPr>
  </w:style>
  <w:style w:type="paragraph" w:styleId="43">
    <w:name w:val="Body Text Indent 3"/>
    <w:basedOn w:val="1"/>
    <w:link w:val="126"/>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4">
    <w:name w:val="toc 2"/>
    <w:basedOn w:val="1"/>
    <w:next w:val="1"/>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5">
    <w:name w:val="toc 9"/>
    <w:basedOn w:val="1"/>
    <w:next w:val="1"/>
    <w:unhideWhenUsed/>
    <w:qFormat/>
    <w:uiPriority w:val="39"/>
    <w:pPr>
      <w:ind w:left="1680"/>
      <w:jc w:val="left"/>
    </w:pPr>
    <w:rPr>
      <w:rFonts w:ascii="Calibri" w:hAnsi="Calibri" w:cs="Calibri"/>
      <w:kern w:val="2"/>
      <w:sz w:val="18"/>
      <w:szCs w:val="18"/>
    </w:rPr>
  </w:style>
  <w:style w:type="paragraph" w:styleId="46">
    <w:name w:val="Body Text 2"/>
    <w:basedOn w:val="1"/>
    <w:link w:val="130"/>
    <w:qFormat/>
    <w:uiPriority w:val="0"/>
    <w:pPr>
      <w:spacing w:line="360" w:lineRule="auto"/>
    </w:pPr>
    <w:rPr>
      <w:rFonts w:hAnsi="Times New Roman" w:cs="Times New Roman"/>
      <w:spacing w:val="-20"/>
      <w:kern w:val="2"/>
      <w:sz w:val="28"/>
      <w:lang w:val="zh-CN"/>
    </w:rPr>
  </w:style>
  <w:style w:type="paragraph" w:styleId="47">
    <w:name w:val="List 4"/>
    <w:basedOn w:val="1"/>
    <w:qFormat/>
    <w:uiPriority w:val="0"/>
    <w:pPr>
      <w:ind w:left="100" w:leftChars="600" w:hanging="200" w:hangingChars="200"/>
    </w:pPr>
    <w:rPr>
      <w:rFonts w:ascii="Calibri" w:hAnsi="Calibri" w:cs="Times New Roman"/>
      <w:kern w:val="2"/>
      <w:sz w:val="21"/>
      <w:szCs w:val="22"/>
    </w:rPr>
  </w:style>
  <w:style w:type="paragraph" w:styleId="48">
    <w:name w:val="List Continue 2"/>
    <w:basedOn w:val="1"/>
    <w:qFormat/>
    <w:uiPriority w:val="0"/>
    <w:pPr>
      <w:spacing w:after="120"/>
      <w:ind w:left="840" w:leftChars="400"/>
    </w:pPr>
    <w:rPr>
      <w:rFonts w:ascii="Calibri" w:hAnsi="Calibri" w:cs="Times New Roman"/>
      <w:kern w:val="2"/>
      <w:sz w:val="21"/>
      <w:szCs w:val="22"/>
    </w:rPr>
  </w:style>
  <w:style w:type="paragraph" w:styleId="49">
    <w:name w:val="Normal (Web)"/>
    <w:basedOn w:val="1"/>
    <w:qFormat/>
    <w:uiPriority w:val="0"/>
    <w:pPr>
      <w:widowControl/>
      <w:spacing w:before="100" w:beforeAutospacing="1" w:after="100" w:afterAutospacing="1"/>
      <w:jc w:val="left"/>
    </w:pPr>
    <w:rPr>
      <w:rFonts w:cs="宋体"/>
      <w:color w:val="0066CC"/>
      <w:sz w:val="24"/>
      <w:szCs w:val="24"/>
    </w:rPr>
  </w:style>
  <w:style w:type="paragraph" w:styleId="50">
    <w:name w:val="Title"/>
    <w:basedOn w:val="4"/>
    <w:next w:val="1"/>
    <w:link w:val="134"/>
    <w:qFormat/>
    <w:uiPriority w:val="0"/>
    <w:pPr>
      <w:spacing w:before="0" w:after="0" w:line="360" w:lineRule="auto"/>
      <w:jc w:val="center"/>
    </w:pPr>
    <w:rPr>
      <w:rFonts w:ascii="宋体" w:hAnsi="宋体" w:eastAsia="黑体"/>
      <w:bCs w:val="0"/>
      <w:smallCaps/>
      <w:snapToGrid w:val="0"/>
      <w:sz w:val="44"/>
      <w:szCs w:val="24"/>
    </w:rPr>
  </w:style>
  <w:style w:type="paragraph" w:styleId="51">
    <w:name w:val="annotation subject"/>
    <w:basedOn w:val="17"/>
    <w:next w:val="17"/>
    <w:link w:val="92"/>
    <w:unhideWhenUsed/>
    <w:qFormat/>
    <w:uiPriority w:val="0"/>
    <w:rPr>
      <w:rFonts w:ascii="宋体" w:hAnsi="宋体" w:eastAsia="宋体" w:cstheme="minorBidi"/>
      <w:b/>
      <w:bCs/>
    </w:rPr>
  </w:style>
  <w:style w:type="paragraph" w:styleId="52">
    <w:name w:val="Body Text First Indent"/>
    <w:basedOn w:val="2"/>
    <w:semiHidden/>
    <w:unhideWhenUsed/>
    <w:qFormat/>
    <w:uiPriority w:val="99"/>
    <w:pPr>
      <w:ind w:firstLine="420" w:firstLineChars="100"/>
    </w:pPr>
  </w:style>
  <w:style w:type="table" w:styleId="54">
    <w:name w:val="Table Grid"/>
    <w:basedOn w:val="53"/>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qFormat/>
    <w:uiPriority w:val="0"/>
    <w:rPr>
      <w:b/>
      <w:bCs/>
    </w:rPr>
  </w:style>
  <w:style w:type="character" w:styleId="57">
    <w:name w:val="page number"/>
    <w:basedOn w:val="55"/>
    <w:qFormat/>
    <w:uiPriority w:val="0"/>
  </w:style>
  <w:style w:type="character" w:styleId="58">
    <w:name w:val="FollowedHyperlink"/>
    <w:basedOn w:val="55"/>
    <w:semiHidden/>
    <w:unhideWhenUsed/>
    <w:qFormat/>
    <w:uiPriority w:val="99"/>
    <w:rPr>
      <w:color w:val="800080" w:themeColor="followedHyperlink"/>
      <w:u w:val="single"/>
      <w14:textFill>
        <w14:solidFill>
          <w14:schemeClr w14:val="folHlink"/>
        </w14:solidFill>
      </w14:textFill>
    </w:rPr>
  </w:style>
  <w:style w:type="character" w:styleId="59">
    <w:name w:val="Emphasis"/>
    <w:qFormat/>
    <w:uiPriority w:val="0"/>
    <w:rPr>
      <w:color w:val="CC0033"/>
    </w:rPr>
  </w:style>
  <w:style w:type="character" w:styleId="60">
    <w:name w:val="Hyperlink"/>
    <w:basedOn w:val="55"/>
    <w:unhideWhenUsed/>
    <w:qFormat/>
    <w:uiPriority w:val="99"/>
    <w:rPr>
      <w:color w:val="0000FF" w:themeColor="hyperlink"/>
      <w:u w:val="single"/>
      <w14:textFill>
        <w14:solidFill>
          <w14:schemeClr w14:val="hlink"/>
        </w14:solidFill>
      </w14:textFill>
    </w:rPr>
  </w:style>
  <w:style w:type="character" w:styleId="61">
    <w:name w:val="annotation reference"/>
    <w:basedOn w:val="55"/>
    <w:unhideWhenUsed/>
    <w:qFormat/>
    <w:uiPriority w:val="0"/>
    <w:rPr>
      <w:sz w:val="21"/>
      <w:szCs w:val="21"/>
    </w:rPr>
  </w:style>
  <w:style w:type="character" w:styleId="62">
    <w:name w:val="footnote reference"/>
    <w:unhideWhenUsed/>
    <w:qFormat/>
    <w:uiPriority w:val="0"/>
    <w:rPr>
      <w:vertAlign w:val="superscript"/>
    </w:rPr>
  </w:style>
  <w:style w:type="character" w:styleId="63">
    <w:name w:val="HTML Sample"/>
    <w:qFormat/>
    <w:uiPriority w:val="0"/>
    <w:rPr>
      <w:rFonts w:hint="default" w:ascii="monospace" w:hAnsi="monospace" w:eastAsia="monospace" w:cs="monospace"/>
      <w:sz w:val="21"/>
      <w:szCs w:val="21"/>
    </w:rPr>
  </w:style>
  <w:style w:type="character" w:customStyle="1" w:styleId="64">
    <w:name w:val="批注框文本 Char"/>
    <w:basedOn w:val="55"/>
    <w:link w:val="31"/>
    <w:qFormat/>
    <w:uiPriority w:val="0"/>
    <w:rPr>
      <w:rFonts w:ascii="@仿宋_GB2312" w:hAnsi="@仿宋_GB2312" w:eastAsia="@仿宋_GB2312" w:cs="@仿宋_GB2312"/>
      <w:sz w:val="18"/>
      <w:szCs w:val="18"/>
    </w:rPr>
  </w:style>
  <w:style w:type="paragraph" w:customStyle="1" w:styleId="65">
    <w:name w:val="正文（缩进）"/>
    <w:basedOn w:val="1"/>
    <w:qFormat/>
    <w:uiPriority w:val="0"/>
    <w:pPr>
      <w:widowControl/>
      <w:spacing w:before="156" w:after="156"/>
      <w:ind w:firstLine="480" w:firstLineChars="200"/>
      <w:jc w:val="left"/>
    </w:pPr>
    <w:rPr>
      <w:sz w:val="24"/>
      <w:szCs w:val="24"/>
    </w:rPr>
  </w:style>
  <w:style w:type="paragraph" w:customStyle="1" w:styleId="66">
    <w:name w:val="xl31"/>
    <w:basedOn w:val="1"/>
    <w:qFormat/>
    <w:uiPriority w:val="0"/>
    <w:pPr>
      <w:widowControl/>
      <w:spacing w:before="100" w:beforeAutospacing="1" w:after="100" w:afterAutospacing="1"/>
      <w:jc w:val="center"/>
    </w:pPr>
    <w:rPr>
      <w:b/>
      <w:bCs/>
      <w:sz w:val="28"/>
      <w:szCs w:val="28"/>
    </w:rPr>
  </w:style>
  <w:style w:type="paragraph" w:customStyle="1" w:styleId="67">
    <w:name w:val="D&amp;L"/>
    <w:basedOn w:val="33"/>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68">
    <w:name w:val="页眉 Char"/>
    <w:basedOn w:val="55"/>
    <w:link w:val="33"/>
    <w:qFormat/>
    <w:uiPriority w:val="99"/>
    <w:rPr>
      <w:rFonts w:ascii="@仿宋_GB2312" w:hAnsi="@仿宋_GB2312" w:eastAsia="@仿宋_GB2312" w:cs="@仿宋_GB2312"/>
      <w:sz w:val="18"/>
      <w:szCs w:val="18"/>
    </w:rPr>
  </w:style>
  <w:style w:type="character" w:customStyle="1" w:styleId="69">
    <w:name w:val="页脚 Char"/>
    <w:basedOn w:val="55"/>
    <w:link w:val="32"/>
    <w:qFormat/>
    <w:uiPriority w:val="99"/>
    <w:rPr>
      <w:rFonts w:ascii="@仿宋_GB2312" w:hAnsi="@仿宋_GB2312" w:eastAsia="@仿宋_GB2312" w:cs="@仿宋_GB2312"/>
      <w:sz w:val="18"/>
      <w:szCs w:val="18"/>
    </w:rPr>
  </w:style>
  <w:style w:type="character" w:customStyle="1" w:styleId="70">
    <w:name w:val="纯文本 Char"/>
    <w:link w:val="27"/>
    <w:qFormat/>
    <w:uiPriority w:val="0"/>
    <w:rPr>
      <w:rFonts w:ascii="宋体" w:hAnsi="Courier New"/>
    </w:rPr>
  </w:style>
  <w:style w:type="character" w:customStyle="1" w:styleId="71">
    <w:name w:val="纯文本 字符1"/>
    <w:basedOn w:val="55"/>
    <w:semiHidden/>
    <w:qFormat/>
    <w:uiPriority w:val="99"/>
    <w:rPr>
      <w:rFonts w:hAnsi="Courier New" w:cs="Courier New" w:asciiTheme="minorEastAsia"/>
      <w:szCs w:val="20"/>
    </w:rPr>
  </w:style>
  <w:style w:type="character" w:customStyle="1" w:styleId="72">
    <w:name w:val="未处理的提及1"/>
    <w:basedOn w:val="55"/>
    <w:semiHidden/>
    <w:unhideWhenUsed/>
    <w:qFormat/>
    <w:uiPriority w:val="99"/>
    <w:rPr>
      <w:color w:val="605E5C"/>
      <w:shd w:val="clear" w:color="auto" w:fill="E1DFDD"/>
    </w:rPr>
  </w:style>
  <w:style w:type="paragraph" w:styleId="73">
    <w:name w:val="List Paragraph"/>
    <w:basedOn w:val="1"/>
    <w:qFormat/>
    <w:uiPriority w:val="34"/>
    <w:pPr>
      <w:ind w:firstLine="420" w:firstLineChars="200"/>
    </w:pPr>
  </w:style>
  <w:style w:type="paragraph" w:customStyle="1" w:styleId="74">
    <w:name w:val="Char Char Char Char Char Char Char1 Char"/>
    <w:basedOn w:val="1"/>
    <w:qFormat/>
    <w:uiPriority w:val="0"/>
    <w:rPr>
      <w:rFonts w:ascii="Arial" w:hAnsi="Arial" w:cs="Arial"/>
      <w:sz w:val="24"/>
    </w:rPr>
  </w:style>
  <w:style w:type="table" w:customStyle="1" w:styleId="75">
    <w:name w:val="网格表 1 浅色1"/>
    <w:basedOn w:val="53"/>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76">
    <w:name w:val="日期 字符"/>
    <w:basedOn w:val="55"/>
    <w:semiHidden/>
    <w:qFormat/>
    <w:uiPriority w:val="99"/>
    <w:rPr>
      <w:rFonts w:ascii="@仿宋_GB2312" w:hAnsi="@仿宋_GB2312" w:eastAsia="@仿宋_GB2312" w:cs="@仿宋_GB2312"/>
      <w:szCs w:val="20"/>
    </w:rPr>
  </w:style>
  <w:style w:type="character" w:customStyle="1" w:styleId="77">
    <w:name w:val="日期 Char"/>
    <w:link w:val="29"/>
    <w:qFormat/>
    <w:uiPriority w:val="0"/>
    <w:rPr>
      <w:rFonts w:ascii="Arial" w:hAnsi="Arial" w:eastAsia="宋体" w:cs="Arial"/>
      <w:b/>
      <w:sz w:val="28"/>
      <w:szCs w:val="20"/>
    </w:rPr>
  </w:style>
  <w:style w:type="character" w:customStyle="1" w:styleId="78">
    <w:name w:val="纯文本 Char1"/>
    <w:link w:val="79"/>
    <w:qFormat/>
    <w:locked/>
    <w:uiPriority w:val="99"/>
    <w:rPr>
      <w:rFonts w:ascii="Arial" w:hAnsi="Arial" w:eastAsia="Arial"/>
      <w:kern w:val="2"/>
      <w:sz w:val="21"/>
      <w:lang w:val="en-US" w:eastAsia="zh-CN" w:bidi="ar-SA"/>
    </w:rPr>
  </w:style>
  <w:style w:type="paragraph" w:customStyle="1" w:styleId="79">
    <w:name w:val="纯文本1"/>
    <w:basedOn w:val="1"/>
    <w:link w:val="78"/>
    <w:qFormat/>
    <w:uiPriority w:val="0"/>
    <w:rPr>
      <w:rFonts w:ascii="Arial" w:hAnsi="Arial" w:eastAsia="Arial"/>
    </w:rPr>
  </w:style>
  <w:style w:type="character" w:customStyle="1" w:styleId="80">
    <w:name w:val="批注文字 Char"/>
    <w:basedOn w:val="55"/>
    <w:qFormat/>
    <w:uiPriority w:val="0"/>
    <w:rPr>
      <w:rFonts w:ascii="@仿宋_GB2312" w:hAnsi="@仿宋_GB2312" w:eastAsia="@仿宋_GB2312" w:cs="@仿宋_GB2312"/>
      <w:szCs w:val="20"/>
    </w:rPr>
  </w:style>
  <w:style w:type="character" w:customStyle="1" w:styleId="81">
    <w:name w:val="批注文字 Char1"/>
    <w:link w:val="17"/>
    <w:qFormat/>
    <w:uiPriority w:val="99"/>
    <w:rPr>
      <w:rFonts w:ascii="Arial" w:hAnsi="Arial" w:eastAsia="黑体" w:cs="Arial"/>
      <w:szCs w:val="20"/>
    </w:rPr>
  </w:style>
  <w:style w:type="character" w:customStyle="1" w:styleId="82">
    <w:name w:val="标题 1 Char"/>
    <w:basedOn w:val="55"/>
    <w:link w:val="3"/>
    <w:qFormat/>
    <w:uiPriority w:val="0"/>
    <w:rPr>
      <w:rFonts w:ascii="@仿宋_GB2312" w:hAnsi="@仿宋_GB2312" w:eastAsia="@仿宋_GB2312" w:cs="@仿宋_GB2312"/>
      <w:b/>
      <w:bCs/>
      <w:kern w:val="44"/>
      <w:sz w:val="44"/>
      <w:szCs w:val="44"/>
    </w:rPr>
  </w:style>
  <w:style w:type="paragraph" w:customStyle="1" w:styleId="83">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84">
    <w:name w:val="标题 3 Char"/>
    <w:basedOn w:val="55"/>
    <w:link w:val="5"/>
    <w:qFormat/>
    <w:uiPriority w:val="0"/>
    <w:rPr>
      <w:rFonts w:ascii="@仿宋_GB2312" w:hAnsi="@仿宋_GB2312" w:eastAsia="@仿宋_GB2312" w:cs="@仿宋_GB2312"/>
      <w:b/>
      <w:bCs/>
      <w:sz w:val="32"/>
      <w:szCs w:val="32"/>
    </w:rPr>
  </w:style>
  <w:style w:type="character" w:customStyle="1" w:styleId="85">
    <w:name w:val="fontstyle01"/>
    <w:basedOn w:val="55"/>
    <w:qFormat/>
    <w:uiPriority w:val="0"/>
    <w:rPr>
      <w:rFonts w:hint="eastAsia" w:ascii="宋体" w:hAnsi="宋体" w:eastAsia="宋体"/>
      <w:color w:val="000000"/>
      <w:sz w:val="22"/>
      <w:szCs w:val="22"/>
    </w:rPr>
  </w:style>
  <w:style w:type="character" w:customStyle="1" w:styleId="86">
    <w:name w:val="fontstyle21"/>
    <w:basedOn w:val="55"/>
    <w:qFormat/>
    <w:uiPriority w:val="0"/>
    <w:rPr>
      <w:rFonts w:hint="default" w:ascii="TimesNewRomanPSMT" w:hAnsi="TimesNewRomanPSMT"/>
      <w:color w:val="000000"/>
      <w:sz w:val="22"/>
      <w:szCs w:val="22"/>
    </w:rPr>
  </w:style>
  <w:style w:type="character" w:customStyle="1" w:styleId="87">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88">
    <w:name w:val="标题 4 字符"/>
    <w:basedOn w:val="55"/>
    <w:semiHidden/>
    <w:qFormat/>
    <w:uiPriority w:val="9"/>
    <w:rPr>
      <w:rFonts w:asciiTheme="majorHAnsi" w:hAnsiTheme="majorHAnsi" w:eastAsiaTheme="majorEastAsia" w:cstheme="majorBidi"/>
      <w:b/>
      <w:bCs/>
      <w:sz w:val="28"/>
      <w:szCs w:val="28"/>
    </w:rPr>
  </w:style>
  <w:style w:type="character" w:customStyle="1" w:styleId="89">
    <w:name w:val="标题 4 Char"/>
    <w:link w:val="6"/>
    <w:qFormat/>
    <w:uiPriority w:val="0"/>
    <w:rPr>
      <w:rFonts w:ascii="@仿宋_GB2312" w:hAnsi="@仿宋_GB2312" w:eastAsia="@仿宋_GB2312" w:cs="@仿宋_GB2312"/>
      <w:b/>
      <w:bCs/>
      <w:sz w:val="28"/>
      <w:szCs w:val="28"/>
    </w:rPr>
  </w:style>
  <w:style w:type="character" w:customStyle="1" w:styleId="90">
    <w:name w:val="正文文本 Char"/>
    <w:basedOn w:val="55"/>
    <w:link w:val="2"/>
    <w:qFormat/>
    <w:uiPriority w:val="0"/>
    <w:rPr>
      <w:rFonts w:ascii="@微软简标宋" w:hAnsi="@微软简标宋" w:eastAsia="@微软简标宋" w:cs="@微软简标宋"/>
      <w:szCs w:val="24"/>
      <w:lang w:val="zh-CN" w:eastAsia="zh-CN"/>
    </w:rPr>
  </w:style>
  <w:style w:type="table" w:customStyle="1" w:styleId="91">
    <w:name w:val="网格型1"/>
    <w:basedOn w:val="5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2">
    <w:name w:val="批注主题 Char"/>
    <w:basedOn w:val="81"/>
    <w:link w:val="51"/>
    <w:qFormat/>
    <w:uiPriority w:val="0"/>
    <w:rPr>
      <w:rFonts w:ascii="Arial" w:hAnsi="Arial" w:eastAsia="黑体" w:cs="Arial"/>
      <w:b/>
      <w:bCs/>
      <w:szCs w:val="20"/>
    </w:rPr>
  </w:style>
  <w:style w:type="paragraph" w:customStyle="1" w:styleId="93">
    <w:name w:val="普通 (Web)"/>
    <w:basedOn w:val="1"/>
    <w:qFormat/>
    <w:uiPriority w:val="0"/>
    <w:pPr>
      <w:widowControl/>
      <w:spacing w:before="100" w:beforeAutospacing="1" w:after="100" w:afterAutospacing="1"/>
      <w:jc w:val="left"/>
    </w:pPr>
    <w:rPr>
      <w:rFonts w:cs="Times New Roman"/>
      <w:sz w:val="24"/>
      <w:szCs w:val="24"/>
    </w:rPr>
  </w:style>
  <w:style w:type="table" w:customStyle="1" w:styleId="94">
    <w:name w:val="网格型2"/>
    <w:basedOn w:val="53"/>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5">
    <w:name w:val="标题 2 Char"/>
    <w:basedOn w:val="55"/>
    <w:link w:val="4"/>
    <w:qFormat/>
    <w:uiPriority w:val="0"/>
    <w:rPr>
      <w:rFonts w:ascii="Cambria" w:hAnsi="Cambria" w:cs="Times New Roman"/>
      <w:b/>
      <w:bCs/>
      <w:kern w:val="2"/>
      <w:sz w:val="32"/>
      <w:szCs w:val="32"/>
      <w:lang w:val="zh-CN" w:eastAsia="zh-CN"/>
    </w:rPr>
  </w:style>
  <w:style w:type="character" w:customStyle="1" w:styleId="96">
    <w:name w:val="标题 5 Char"/>
    <w:basedOn w:val="55"/>
    <w:link w:val="7"/>
    <w:qFormat/>
    <w:uiPriority w:val="0"/>
    <w:rPr>
      <w:rFonts w:ascii="Calibri" w:hAnsi="Calibri" w:cs="Times New Roman"/>
      <w:b/>
      <w:bCs/>
      <w:kern w:val="2"/>
      <w:sz w:val="28"/>
      <w:szCs w:val="28"/>
      <w:lang w:val="zh-CN" w:eastAsia="zh-CN"/>
    </w:rPr>
  </w:style>
  <w:style w:type="character" w:customStyle="1" w:styleId="97">
    <w:name w:val="标题 6 Char"/>
    <w:basedOn w:val="55"/>
    <w:link w:val="8"/>
    <w:qFormat/>
    <w:uiPriority w:val="0"/>
    <w:rPr>
      <w:rFonts w:ascii="Times New Roman" w:hAnsi="Times New Roman" w:cs="Times New Roman"/>
      <w:b/>
      <w:bCs/>
      <w:kern w:val="2"/>
      <w:sz w:val="30"/>
      <w:szCs w:val="18"/>
      <w:lang w:val="zh-CN" w:eastAsia="zh-CN"/>
    </w:rPr>
  </w:style>
  <w:style w:type="character" w:customStyle="1" w:styleId="98">
    <w:name w:val="标题 7 Char"/>
    <w:basedOn w:val="55"/>
    <w:link w:val="9"/>
    <w:qFormat/>
    <w:uiPriority w:val="0"/>
    <w:rPr>
      <w:rFonts w:ascii="Times New Roman" w:hAnsi="Times New Roman" w:cs="Times New Roman"/>
      <w:b/>
      <w:bCs/>
      <w:kern w:val="2"/>
      <w:sz w:val="30"/>
      <w:szCs w:val="18"/>
      <w:lang w:val="zh-CN" w:eastAsia="zh-CN"/>
    </w:rPr>
  </w:style>
  <w:style w:type="character" w:customStyle="1" w:styleId="99">
    <w:name w:val="标题 8 Char"/>
    <w:basedOn w:val="55"/>
    <w:link w:val="10"/>
    <w:qFormat/>
    <w:uiPriority w:val="0"/>
    <w:rPr>
      <w:rFonts w:eastAsia="黑体" w:cs="Times New Roman"/>
      <w:kern w:val="2"/>
      <w:sz w:val="32"/>
      <w:szCs w:val="32"/>
      <w:lang w:val="zh-CN" w:eastAsia="zh-CN"/>
    </w:rPr>
  </w:style>
  <w:style w:type="character" w:customStyle="1" w:styleId="100">
    <w:name w:val="标题 9 Char"/>
    <w:basedOn w:val="55"/>
    <w:link w:val="11"/>
    <w:qFormat/>
    <w:uiPriority w:val="0"/>
    <w:rPr>
      <w:rFonts w:ascii="Cambria" w:hAnsi="Cambria" w:cs="Times New Roman"/>
      <w:kern w:val="2"/>
      <w:sz w:val="21"/>
      <w:szCs w:val="21"/>
      <w:lang w:val="zh-CN" w:eastAsia="zh-CN"/>
    </w:rPr>
  </w:style>
  <w:style w:type="character" w:customStyle="1" w:styleId="101">
    <w:name w:val="纯文本 Char2"/>
    <w:qFormat/>
    <w:uiPriority w:val="0"/>
    <w:rPr>
      <w:rFonts w:ascii="宋体" w:hAnsi="Courier New"/>
    </w:rPr>
  </w:style>
  <w:style w:type="table" w:customStyle="1" w:styleId="102">
    <w:name w:val="网格型3"/>
    <w:basedOn w:val="53"/>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3">
    <w:name w:val="网格表 1 浅色11"/>
    <w:basedOn w:val="53"/>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04">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05">
    <w:name w:val="正文文本缩进 Char"/>
    <w:basedOn w:val="55"/>
    <w:link w:val="20"/>
    <w:qFormat/>
    <w:uiPriority w:val="0"/>
    <w:rPr>
      <w:rFonts w:asciiTheme="minorHAnsi" w:hAnsiTheme="minorHAnsi"/>
      <w:kern w:val="2"/>
      <w:sz w:val="21"/>
      <w:szCs w:val="22"/>
    </w:rPr>
  </w:style>
  <w:style w:type="paragraph" w:customStyle="1" w:styleId="106">
    <w:name w:val="Char"/>
    <w:basedOn w:val="1"/>
    <w:qFormat/>
    <w:uiPriority w:val="0"/>
    <w:rPr>
      <w:rFonts w:ascii="Tahoma" w:hAnsi="Tahoma" w:cs="Times New Roman"/>
      <w:sz w:val="24"/>
    </w:rPr>
  </w:style>
  <w:style w:type="character" w:customStyle="1" w:styleId="107">
    <w:name w:val="脚注文本 Char"/>
    <w:basedOn w:val="55"/>
    <w:link w:val="41"/>
    <w:qFormat/>
    <w:uiPriority w:val="0"/>
    <w:rPr>
      <w:rFonts w:ascii="Times New Roman" w:hAnsi="Times New Roman" w:cs="Times New Roman"/>
      <w:kern w:val="2"/>
      <w:sz w:val="18"/>
      <w:szCs w:val="18"/>
      <w:lang w:val="zh-CN" w:eastAsia="zh-CN"/>
    </w:rPr>
  </w:style>
  <w:style w:type="paragraph" w:customStyle="1" w:styleId="108">
    <w:name w:val="样式 标题 3 + (中文) 黑体 小四 非加粗 段前: 7.8 磅 段后: 0 磅 行距: 固定值 20 磅"/>
    <w:basedOn w:val="5"/>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09">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10">
    <w:name w:val="Normal_2"/>
    <w:qFormat/>
    <w:uiPriority w:val="0"/>
    <w:rPr>
      <w:rFonts w:ascii="Times New Roman" w:hAnsi="Times New Roman" w:eastAsia="Times New Roman" w:cs="Times New Roman"/>
      <w:sz w:val="24"/>
      <w:szCs w:val="24"/>
      <w:lang w:val="en-US" w:eastAsia="zh-CN" w:bidi="ar-SA"/>
    </w:rPr>
  </w:style>
  <w:style w:type="character" w:customStyle="1" w:styleId="111">
    <w:name w:val="称呼 Char"/>
    <w:basedOn w:val="55"/>
    <w:link w:val="18"/>
    <w:qFormat/>
    <w:uiPriority w:val="0"/>
    <w:rPr>
      <w:rFonts w:ascii="仿宋_GB2312" w:hAnsi="Times New Roman" w:eastAsia="仿宋_GB2312" w:cs="Times New Roman"/>
      <w:kern w:val="2"/>
      <w:sz w:val="28"/>
      <w:lang w:val="zh-CN" w:eastAsia="zh-CN"/>
    </w:rPr>
  </w:style>
  <w:style w:type="paragraph" w:customStyle="1" w:styleId="11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13">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14">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5">
    <w:name w:val="正文_2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正文_2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7">
    <w:name w:val="Normal_1"/>
    <w:qFormat/>
    <w:uiPriority w:val="0"/>
    <w:rPr>
      <w:rFonts w:ascii="Times New Roman" w:hAnsi="Times New Roman" w:eastAsia="Times New Roman" w:cs="Times New Roman"/>
      <w:sz w:val="24"/>
      <w:szCs w:val="24"/>
      <w:lang w:val="en-US" w:eastAsia="zh-CN" w:bidi="ar-SA"/>
    </w:rPr>
  </w:style>
  <w:style w:type="paragraph" w:customStyle="1" w:styleId="118">
    <w:name w:val="Normal_3"/>
    <w:qFormat/>
    <w:uiPriority w:val="0"/>
    <w:rPr>
      <w:rFonts w:ascii="Times New Roman" w:hAnsi="Times New Roman" w:eastAsia="Times New Roman" w:cs="Times New Roman"/>
      <w:sz w:val="24"/>
      <w:szCs w:val="24"/>
      <w:lang w:val="en-US" w:eastAsia="zh-CN" w:bidi="ar-SA"/>
    </w:rPr>
  </w:style>
  <w:style w:type="paragraph" w:customStyle="1" w:styleId="119">
    <w:name w:val="Char Char Char Char Char Char"/>
    <w:basedOn w:val="1"/>
    <w:qFormat/>
    <w:uiPriority w:val="0"/>
    <w:rPr>
      <w:rFonts w:ascii="Tahoma" w:hAnsi="Tahoma" w:cs="Times New Roman"/>
      <w:kern w:val="2"/>
      <w:sz w:val="24"/>
    </w:rPr>
  </w:style>
  <w:style w:type="paragraph" w:customStyle="1" w:styleId="120">
    <w:name w:val="Blockquote"/>
    <w:basedOn w:val="1"/>
    <w:link w:val="121"/>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21">
    <w:name w:val="Blockquote Char"/>
    <w:link w:val="120"/>
    <w:qFormat/>
    <w:uiPriority w:val="0"/>
    <w:rPr>
      <w:rFonts w:ascii="Times New Roman" w:hAnsi="Times New Roman" w:cs="Times New Roman"/>
      <w:sz w:val="24"/>
      <w:lang w:val="zh-CN" w:eastAsia="zh-CN"/>
    </w:rPr>
  </w:style>
  <w:style w:type="paragraph" w:customStyle="1" w:styleId="122">
    <w:name w:val="xl22"/>
    <w:basedOn w:val="1"/>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paragraph" w:customStyle="1" w:styleId="123">
    <w:name w:val="样式1"/>
    <w:basedOn w:val="1"/>
    <w:next w:val="6"/>
    <w:qFormat/>
    <w:uiPriority w:val="0"/>
    <w:pPr>
      <w:spacing w:line="360" w:lineRule="auto"/>
      <w:ind w:firstLine="420" w:firstLineChars="200"/>
    </w:pPr>
    <w:rPr>
      <w:rFonts w:cs="Times New Roman"/>
      <w:kern w:val="2"/>
      <w:sz w:val="21"/>
      <w:szCs w:val="21"/>
    </w:rPr>
  </w:style>
  <w:style w:type="character" w:customStyle="1" w:styleId="124">
    <w:name w:val="tdrownotice1"/>
    <w:qFormat/>
    <w:uiPriority w:val="0"/>
    <w:rPr>
      <w:sz w:val="22"/>
    </w:rPr>
  </w:style>
  <w:style w:type="paragraph" w:customStyle="1" w:styleId="125">
    <w:name w:val="段落2"/>
    <w:basedOn w:val="1"/>
    <w:qFormat/>
    <w:uiPriority w:val="0"/>
    <w:pPr>
      <w:spacing w:line="360" w:lineRule="auto"/>
      <w:ind w:firstLine="480" w:firstLineChars="200"/>
    </w:pPr>
    <w:rPr>
      <w:rFonts w:ascii="Calibri" w:hAnsi="Calibri" w:cs="Courier New"/>
      <w:kern w:val="2"/>
      <w:sz w:val="24"/>
      <w:szCs w:val="21"/>
    </w:rPr>
  </w:style>
  <w:style w:type="character" w:customStyle="1" w:styleId="126">
    <w:name w:val="正文文本缩进 3 Char"/>
    <w:basedOn w:val="55"/>
    <w:link w:val="43"/>
    <w:qFormat/>
    <w:uiPriority w:val="0"/>
    <w:rPr>
      <w:rFonts w:hAnsi="MS Sans Serif" w:cs="Times New Roman"/>
      <w:bCs/>
      <w:color w:val="000000"/>
      <w:sz w:val="24"/>
      <w:lang w:val="zh-CN" w:eastAsia="zh-CN"/>
    </w:rPr>
  </w:style>
  <w:style w:type="character" w:customStyle="1" w:styleId="127">
    <w:name w:val="正文文本缩进 2 Char"/>
    <w:basedOn w:val="55"/>
    <w:link w:val="30"/>
    <w:qFormat/>
    <w:uiPriority w:val="0"/>
    <w:rPr>
      <w:rFonts w:hAnsi="MS Sans Serif" w:cs="Times New Roman"/>
      <w:bCs/>
      <w:spacing w:val="12"/>
      <w:sz w:val="24"/>
      <w:lang w:val="zh-CN" w:eastAsia="zh-CN"/>
    </w:rPr>
  </w:style>
  <w:style w:type="paragraph" w:customStyle="1" w:styleId="128">
    <w:name w:val="目录"/>
    <w:basedOn w:val="1"/>
    <w:qFormat/>
    <w:uiPriority w:val="0"/>
    <w:pPr>
      <w:widowControl/>
      <w:jc w:val="center"/>
    </w:pPr>
    <w:rPr>
      <w:rFonts w:hAnsi="Calibri" w:cs="Times New Roman"/>
      <w:b/>
      <w:sz w:val="36"/>
    </w:rPr>
  </w:style>
  <w:style w:type="paragraph" w:customStyle="1" w:styleId="129">
    <w:name w:val="目录文字"/>
    <w:basedOn w:val="1"/>
    <w:qFormat/>
    <w:uiPriority w:val="0"/>
    <w:pPr>
      <w:widowControl/>
      <w:spacing w:line="480" w:lineRule="auto"/>
      <w:jc w:val="left"/>
    </w:pPr>
    <w:rPr>
      <w:rFonts w:cs="Times New Roman"/>
      <w:sz w:val="24"/>
    </w:rPr>
  </w:style>
  <w:style w:type="character" w:customStyle="1" w:styleId="130">
    <w:name w:val="正文文本 2 Char"/>
    <w:basedOn w:val="55"/>
    <w:link w:val="46"/>
    <w:qFormat/>
    <w:uiPriority w:val="0"/>
    <w:rPr>
      <w:rFonts w:hAnsi="Times New Roman" w:cs="Times New Roman"/>
      <w:spacing w:val="-20"/>
      <w:kern w:val="2"/>
      <w:sz w:val="28"/>
      <w:lang w:val="zh-CN" w:eastAsia="zh-CN"/>
    </w:rPr>
  </w:style>
  <w:style w:type="character" w:customStyle="1" w:styleId="131">
    <w:name w:val="正文文本 3 Char"/>
    <w:basedOn w:val="55"/>
    <w:link w:val="19"/>
    <w:qFormat/>
    <w:uiPriority w:val="0"/>
    <w:rPr>
      <w:rFonts w:ascii="仿宋_GB2312" w:eastAsia="仿宋_GB2312" w:cs="Times New Roman"/>
      <w:bCs/>
      <w:color w:val="000000"/>
      <w:kern w:val="2"/>
      <w:sz w:val="24"/>
      <w:szCs w:val="32"/>
      <w:lang w:val="zh-CN" w:eastAsia="zh-CN"/>
    </w:rPr>
  </w:style>
  <w:style w:type="paragraph" w:customStyle="1" w:styleId="13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33">
    <w:name w:val="xl33"/>
    <w:basedOn w:val="1"/>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34">
    <w:name w:val="标题 Char"/>
    <w:basedOn w:val="55"/>
    <w:link w:val="50"/>
    <w:qFormat/>
    <w:uiPriority w:val="0"/>
    <w:rPr>
      <w:rFonts w:eastAsia="黑体" w:cs="Times New Roman"/>
      <w:b/>
      <w:smallCaps/>
      <w:snapToGrid w:val="0"/>
      <w:kern w:val="2"/>
      <w:sz w:val="44"/>
      <w:szCs w:val="24"/>
      <w:lang w:val="zh-CN" w:eastAsia="zh-CN"/>
    </w:rPr>
  </w:style>
  <w:style w:type="paragraph" w:customStyle="1" w:styleId="135">
    <w:name w:val="段落1 Char"/>
    <w:basedOn w:val="27"/>
    <w:qFormat/>
    <w:uiPriority w:val="0"/>
    <w:pPr>
      <w:spacing w:line="360" w:lineRule="auto"/>
    </w:pPr>
    <w:rPr>
      <w:rFonts w:ascii="Times New Roman" w:hAnsi="Times New Roman" w:eastAsia="宋体" w:cs="Times New Roman"/>
      <w:kern w:val="2"/>
      <w:sz w:val="24"/>
      <w:szCs w:val="21"/>
      <w:lang w:val="zh-CN"/>
    </w:rPr>
  </w:style>
  <w:style w:type="paragraph" w:customStyle="1" w:styleId="136">
    <w:name w:val="样式3"/>
    <w:basedOn w:val="1"/>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37">
    <w:name w:val="简单回函地址"/>
    <w:basedOn w:val="1"/>
    <w:qFormat/>
    <w:uiPriority w:val="0"/>
    <w:rPr>
      <w:rFonts w:ascii="Calibri" w:hAnsi="Calibri" w:cs="Times New Roman"/>
      <w:kern w:val="2"/>
      <w:sz w:val="21"/>
      <w:szCs w:val="22"/>
    </w:rPr>
  </w:style>
  <w:style w:type="paragraph" w:customStyle="1" w:styleId="138">
    <w:name w:val="Char Char Char Char"/>
    <w:basedOn w:val="1"/>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39">
    <w:name w:val="Default Paragraph Char Char Char Char"/>
    <w:basedOn w:val="1"/>
    <w:next w:val="1"/>
    <w:qFormat/>
    <w:uiPriority w:val="0"/>
    <w:pPr>
      <w:widowControl/>
      <w:spacing w:line="360" w:lineRule="auto"/>
      <w:jc w:val="left"/>
    </w:pPr>
    <w:rPr>
      <w:rFonts w:ascii="Calibri" w:hAnsi="Calibri" w:cs="Times New Roman"/>
      <w:sz w:val="21"/>
      <w:lang w:eastAsia="en-US"/>
    </w:rPr>
  </w:style>
  <w:style w:type="character" w:customStyle="1" w:styleId="140">
    <w:name w:val="t_tag"/>
    <w:basedOn w:val="55"/>
    <w:qFormat/>
    <w:uiPriority w:val="0"/>
  </w:style>
  <w:style w:type="table" w:customStyle="1" w:styleId="141">
    <w:name w:val="网格型11"/>
    <w:basedOn w:val="53"/>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42">
    <w:name w:val="批注框文本 Char1"/>
    <w:basedOn w:val="55"/>
    <w:qFormat/>
    <w:uiPriority w:val="0"/>
    <w:rPr>
      <w:rFonts w:ascii="Times New Roman" w:hAnsi="Times New Roman" w:eastAsia="宋体" w:cs="Times New Roman"/>
      <w:sz w:val="18"/>
      <w:szCs w:val="18"/>
    </w:rPr>
  </w:style>
  <w:style w:type="character" w:customStyle="1" w:styleId="143">
    <w:name w:val="批注主题 Char1"/>
    <w:basedOn w:val="81"/>
    <w:qFormat/>
    <w:uiPriority w:val="0"/>
    <w:rPr>
      <w:rFonts w:ascii="@仿宋_GB2312" w:hAnsi="@仿宋_GB2312" w:eastAsia="@仿宋_GB2312" w:cs="@仿宋_GB2312"/>
      <w:b/>
      <w:bCs/>
      <w:szCs w:val="20"/>
    </w:rPr>
  </w:style>
  <w:style w:type="paragraph" w:customStyle="1" w:styleId="144">
    <w:name w:val="Char10 Char Char Char Char Char Char Char Char Char"/>
    <w:basedOn w:val="1"/>
    <w:next w:val="1"/>
    <w:qFormat/>
    <w:uiPriority w:val="0"/>
    <w:rPr>
      <w:rFonts w:ascii="Calibri" w:hAnsi="Calibri" w:cs="Times New Roman"/>
      <w:kern w:val="2"/>
      <w:sz w:val="21"/>
      <w:szCs w:val="22"/>
    </w:rPr>
  </w:style>
  <w:style w:type="character" w:customStyle="1" w:styleId="145">
    <w:name w:val="文档结构图 Char"/>
    <w:basedOn w:val="55"/>
    <w:link w:val="16"/>
    <w:qFormat/>
    <w:uiPriority w:val="0"/>
    <w:rPr>
      <w:rFonts w:ascii="Calibri" w:hAnsi="Calibri" w:cs="Times New Roman"/>
      <w:bCs/>
      <w:kern w:val="2"/>
      <w:sz w:val="21"/>
      <w:szCs w:val="32"/>
      <w:shd w:val="clear" w:color="auto" w:fill="000080"/>
      <w:lang w:val="zh-CN" w:eastAsia="zh-CN"/>
    </w:rPr>
  </w:style>
  <w:style w:type="character" w:customStyle="1" w:styleId="146">
    <w:name w:val="标题 1 Char1"/>
    <w:qFormat/>
    <w:uiPriority w:val="0"/>
    <w:rPr>
      <w:rFonts w:ascii="Calibri" w:hAnsi="Calibri" w:eastAsia="宋体"/>
      <w:b/>
      <w:kern w:val="44"/>
      <w:sz w:val="44"/>
      <w:szCs w:val="44"/>
    </w:rPr>
  </w:style>
  <w:style w:type="character" w:customStyle="1" w:styleId="147">
    <w:name w:val="标题 3 Char1"/>
    <w:semiHidden/>
    <w:qFormat/>
    <w:uiPriority w:val="0"/>
    <w:rPr>
      <w:rFonts w:ascii="Calibri" w:hAnsi="Calibri" w:eastAsia="宋体"/>
      <w:b/>
      <w:kern w:val="2"/>
      <w:sz w:val="32"/>
    </w:rPr>
  </w:style>
  <w:style w:type="character" w:customStyle="1" w:styleId="148">
    <w:name w:val="标题 4 Char1"/>
    <w:semiHidden/>
    <w:qFormat/>
    <w:uiPriority w:val="0"/>
    <w:rPr>
      <w:rFonts w:ascii="Cambria" w:hAnsi="Cambria" w:eastAsia="宋体"/>
      <w:b/>
      <w:kern w:val="2"/>
      <w:sz w:val="28"/>
      <w:szCs w:val="28"/>
    </w:rPr>
  </w:style>
  <w:style w:type="character" w:customStyle="1" w:styleId="149">
    <w:name w:val="标题 5 Char1"/>
    <w:semiHidden/>
    <w:qFormat/>
    <w:uiPriority w:val="0"/>
    <w:rPr>
      <w:rFonts w:ascii="Calibri" w:hAnsi="Calibri" w:eastAsia="宋体"/>
      <w:b/>
      <w:kern w:val="2"/>
      <w:sz w:val="28"/>
      <w:szCs w:val="28"/>
    </w:rPr>
  </w:style>
  <w:style w:type="character" w:customStyle="1" w:styleId="150">
    <w:name w:val="标题 6 Char1"/>
    <w:semiHidden/>
    <w:qFormat/>
    <w:uiPriority w:val="0"/>
    <w:rPr>
      <w:rFonts w:ascii="Cambria" w:hAnsi="Cambria" w:eastAsia="宋体"/>
      <w:b/>
      <w:kern w:val="2"/>
      <w:sz w:val="24"/>
      <w:szCs w:val="24"/>
    </w:rPr>
  </w:style>
  <w:style w:type="character" w:customStyle="1" w:styleId="151">
    <w:name w:val="标题 7 Char1"/>
    <w:semiHidden/>
    <w:qFormat/>
    <w:uiPriority w:val="0"/>
    <w:rPr>
      <w:rFonts w:ascii="Calibri" w:hAnsi="Calibri" w:eastAsia="宋体"/>
      <w:b/>
      <w:kern w:val="2"/>
      <w:sz w:val="24"/>
      <w:szCs w:val="24"/>
    </w:rPr>
  </w:style>
  <w:style w:type="character" w:customStyle="1" w:styleId="152">
    <w:name w:val="标题 8 Char1"/>
    <w:semiHidden/>
    <w:qFormat/>
    <w:uiPriority w:val="0"/>
    <w:rPr>
      <w:rFonts w:ascii="Cambria" w:hAnsi="Cambria" w:eastAsia="宋体"/>
      <w:kern w:val="2"/>
      <w:sz w:val="24"/>
      <w:szCs w:val="24"/>
    </w:rPr>
  </w:style>
  <w:style w:type="character" w:customStyle="1" w:styleId="153">
    <w:name w:val="标题 9 Char1"/>
    <w:semiHidden/>
    <w:qFormat/>
    <w:uiPriority w:val="0"/>
    <w:rPr>
      <w:rFonts w:ascii="Cambria" w:hAnsi="Cambria" w:eastAsia="宋体"/>
      <w:kern w:val="2"/>
      <w:sz w:val="21"/>
      <w:szCs w:val="21"/>
    </w:rPr>
  </w:style>
  <w:style w:type="paragraph" w:customStyle="1" w:styleId="154">
    <w:name w:val="MsoNormal"/>
    <w:basedOn w:val="155"/>
    <w:qFormat/>
    <w:uiPriority w:val="0"/>
    <w:rPr>
      <w:rFonts w:ascii="Calibri" w:hAnsi="Calibri" w:eastAsia="Calibri"/>
      <w:sz w:val="21"/>
    </w:rPr>
  </w:style>
  <w:style w:type="paragraph" w:customStyle="1" w:styleId="155">
    <w:name w:val="Normal_0"/>
    <w:qFormat/>
    <w:uiPriority w:val="0"/>
    <w:rPr>
      <w:rFonts w:ascii="Times New Roman" w:hAnsi="Times New Roman" w:eastAsia="宋体" w:cs="Times New Roman"/>
      <w:sz w:val="24"/>
      <w:szCs w:val="24"/>
      <w:lang w:val="en-US" w:eastAsia="zh-CN" w:bidi="ar-SA"/>
    </w:rPr>
  </w:style>
  <w:style w:type="paragraph" w:customStyle="1" w:styleId="156">
    <w:name w:val="标题 2_0"/>
    <w:basedOn w:val="157"/>
    <w:next w:val="158"/>
    <w:link w:val="159"/>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57">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9">
    <w:name w:val="标题 2 Char_0"/>
    <w:link w:val="156"/>
    <w:qFormat/>
    <w:uiPriority w:val="0"/>
    <w:rPr>
      <w:rFonts w:ascii="黑体" w:eastAsia="黑体" w:cs="Times New Roman"/>
      <w:b/>
      <w:smallCaps/>
      <w:snapToGrid w:val="0"/>
      <w:sz w:val="36"/>
      <w:szCs w:val="24"/>
      <w:lang w:val="zh-CN" w:eastAsia="zh-CN"/>
    </w:rPr>
  </w:style>
  <w:style w:type="paragraph" w:customStyle="1" w:styleId="160">
    <w:name w:val="纯文本_0"/>
    <w:basedOn w:val="158"/>
    <w:link w:val="161"/>
    <w:qFormat/>
    <w:uiPriority w:val="99"/>
    <w:rPr>
      <w:rFonts w:ascii="宋体" w:hAnsi="Courier New"/>
      <w:szCs w:val="21"/>
    </w:rPr>
  </w:style>
  <w:style w:type="character" w:customStyle="1" w:styleId="161">
    <w:name w:val="Texte Char1"/>
    <w:link w:val="160"/>
    <w:qFormat/>
    <w:uiPriority w:val="99"/>
    <w:rPr>
      <w:rFonts w:hAnsi="Courier New" w:cs="Times New Roman"/>
      <w:kern w:val="2"/>
      <w:sz w:val="21"/>
      <w:szCs w:val="21"/>
    </w:rPr>
  </w:style>
  <w:style w:type="paragraph" w:customStyle="1" w:styleId="162">
    <w:name w:val="纯文本_1"/>
    <w:basedOn w:val="163"/>
    <w:link w:val="164"/>
    <w:qFormat/>
    <w:uiPriority w:val="0"/>
    <w:rPr>
      <w:rFonts w:ascii="宋体" w:hAnsi="Courier New"/>
      <w:szCs w:val="21"/>
      <w:lang w:val="zh-CN"/>
    </w:rPr>
  </w:style>
  <w:style w:type="paragraph" w:customStyle="1" w:styleId="163">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4">
    <w:name w:val="纯文本 Char1_0"/>
    <w:link w:val="162"/>
    <w:qFormat/>
    <w:uiPriority w:val="0"/>
    <w:rPr>
      <w:rFonts w:hAnsi="Courier New" w:cs="Times New Roman"/>
      <w:kern w:val="2"/>
      <w:sz w:val="21"/>
      <w:szCs w:val="21"/>
      <w:lang w:val="zh-CN" w:eastAsia="zh-CN"/>
    </w:rPr>
  </w:style>
  <w:style w:type="paragraph" w:customStyle="1" w:styleId="165">
    <w:name w:val="标题 3_0"/>
    <w:basedOn w:val="166"/>
    <w:next w:val="167"/>
    <w:link w:val="178"/>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66">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缩进_0"/>
    <w:basedOn w:val="166"/>
    <w:unhideWhenUsed/>
    <w:qFormat/>
    <w:uiPriority w:val="0"/>
    <w:pPr>
      <w:ind w:firstLine="420" w:firstLineChars="200"/>
    </w:pPr>
    <w:rPr>
      <w:rFonts w:ascii="Calibri" w:hAnsi="Calibri"/>
      <w:bCs/>
      <w:szCs w:val="32"/>
    </w:rPr>
  </w:style>
  <w:style w:type="paragraph" w:customStyle="1" w:styleId="168">
    <w:name w:val="标题 1_0"/>
    <w:basedOn w:val="166"/>
    <w:next w:val="166"/>
    <w:link w:val="169"/>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69">
    <w:name w:val="标题 1 Char_0"/>
    <w:link w:val="168"/>
    <w:qFormat/>
    <w:uiPriority w:val="0"/>
    <w:rPr>
      <w:rFonts w:ascii="黑体" w:hAnsi="Times New Roman" w:eastAsia="黑体" w:cs="Times New Roman"/>
      <w:sz w:val="52"/>
      <w:lang w:val="zh-CN" w:eastAsia="zh-CN"/>
    </w:rPr>
  </w:style>
  <w:style w:type="paragraph" w:customStyle="1" w:styleId="170">
    <w:name w:val="标题 6_0"/>
    <w:basedOn w:val="166"/>
    <w:next w:val="166"/>
    <w:link w:val="171"/>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71">
    <w:name w:val="标题 6 Char_0"/>
    <w:link w:val="170"/>
    <w:qFormat/>
    <w:uiPriority w:val="0"/>
    <w:rPr>
      <w:rFonts w:ascii="Arial" w:hAnsi="Arial" w:eastAsia="黑体" w:cs="Times New Roman"/>
      <w:b/>
      <w:bCs/>
      <w:sz w:val="24"/>
      <w:szCs w:val="24"/>
      <w:lang w:val="zh-CN" w:eastAsia="zh-CN"/>
    </w:rPr>
  </w:style>
  <w:style w:type="paragraph" w:customStyle="1" w:styleId="172">
    <w:name w:val="标题 7_0"/>
    <w:basedOn w:val="166"/>
    <w:next w:val="166"/>
    <w:link w:val="173"/>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73">
    <w:name w:val="标题 7 Char_0"/>
    <w:link w:val="172"/>
    <w:qFormat/>
    <w:uiPriority w:val="0"/>
    <w:rPr>
      <w:rFonts w:ascii="Times New Roman" w:hAnsi="Times New Roman" w:cs="Times New Roman"/>
      <w:b/>
      <w:bCs/>
      <w:sz w:val="24"/>
      <w:szCs w:val="24"/>
      <w:lang w:val="zh-CN" w:eastAsia="zh-CN"/>
    </w:rPr>
  </w:style>
  <w:style w:type="paragraph" w:customStyle="1" w:styleId="174">
    <w:name w:val="标题 8_0"/>
    <w:basedOn w:val="166"/>
    <w:next w:val="166"/>
    <w:link w:val="175"/>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75">
    <w:name w:val="标题 8 Char_0"/>
    <w:link w:val="174"/>
    <w:qFormat/>
    <w:uiPriority w:val="0"/>
    <w:rPr>
      <w:rFonts w:ascii="Arial" w:hAnsi="Arial" w:eastAsia="黑体" w:cs="Times New Roman"/>
      <w:sz w:val="24"/>
      <w:szCs w:val="24"/>
      <w:lang w:val="zh-CN" w:eastAsia="zh-CN"/>
    </w:rPr>
  </w:style>
  <w:style w:type="paragraph" w:customStyle="1" w:styleId="176">
    <w:name w:val="标题 9_0"/>
    <w:basedOn w:val="166"/>
    <w:next w:val="166"/>
    <w:link w:val="177"/>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77">
    <w:name w:val="标题 9 Char_0"/>
    <w:link w:val="176"/>
    <w:qFormat/>
    <w:uiPriority w:val="0"/>
    <w:rPr>
      <w:rFonts w:ascii="Arial" w:hAnsi="Arial" w:eastAsia="黑体" w:cs="Times New Roman"/>
      <w:sz w:val="21"/>
      <w:szCs w:val="21"/>
      <w:lang w:val="zh-CN" w:eastAsia="zh-CN"/>
    </w:rPr>
  </w:style>
  <w:style w:type="character" w:customStyle="1" w:styleId="178">
    <w:name w:val="标题 3 Char_0"/>
    <w:link w:val="165"/>
    <w:qFormat/>
    <w:uiPriority w:val="0"/>
    <w:rPr>
      <w:rFonts w:ascii="Times New Roman" w:hAnsi="Times New Roman" w:cs="Times New Roman"/>
      <w:b/>
      <w:sz w:val="32"/>
      <w:lang w:val="zh-CN" w:eastAsia="zh-CN"/>
    </w:rPr>
  </w:style>
  <w:style w:type="paragraph" w:customStyle="1" w:styleId="179">
    <w:name w:val="Blockquote_0"/>
    <w:basedOn w:val="166"/>
    <w:link w:val="180"/>
    <w:qFormat/>
    <w:uiPriority w:val="0"/>
    <w:pPr>
      <w:autoSpaceDE w:val="0"/>
      <w:autoSpaceDN w:val="0"/>
      <w:adjustRightInd w:val="0"/>
      <w:spacing w:before="100" w:after="100"/>
      <w:ind w:left="360" w:right="360"/>
      <w:jc w:val="left"/>
    </w:pPr>
    <w:rPr>
      <w:kern w:val="0"/>
      <w:sz w:val="24"/>
      <w:szCs w:val="20"/>
      <w:lang w:val="zh-CN"/>
    </w:rPr>
  </w:style>
  <w:style w:type="character" w:customStyle="1" w:styleId="180">
    <w:name w:val="Blockquote Char_0"/>
    <w:link w:val="179"/>
    <w:qFormat/>
    <w:locked/>
    <w:uiPriority w:val="0"/>
    <w:rPr>
      <w:rFonts w:ascii="Times New Roman" w:hAnsi="Times New Roman" w:cs="Times New Roman"/>
      <w:sz w:val="24"/>
      <w:lang w:val="zh-CN" w:eastAsia="zh-CN"/>
    </w:rPr>
  </w:style>
  <w:style w:type="paragraph" w:customStyle="1" w:styleId="181">
    <w:name w:val="标题 4_0"/>
    <w:basedOn w:val="166"/>
    <w:next w:val="166"/>
    <w:link w:val="182"/>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82">
    <w:name w:val="标题 4 Char_0"/>
    <w:link w:val="181"/>
    <w:qFormat/>
    <w:uiPriority w:val="0"/>
    <w:rPr>
      <w:rFonts w:ascii="Arial" w:hAnsi="Arial" w:eastAsia="黑体" w:cs="Times New Roman"/>
      <w:sz w:val="28"/>
      <w:lang w:val="zh-CN" w:eastAsia="zh-CN"/>
    </w:rPr>
  </w:style>
  <w:style w:type="paragraph" w:customStyle="1" w:styleId="183">
    <w:name w:val="纯文本_2"/>
    <w:basedOn w:val="166"/>
    <w:link w:val="184"/>
    <w:qFormat/>
    <w:uiPriority w:val="0"/>
    <w:rPr>
      <w:rFonts w:ascii="宋体" w:hAnsi="Courier New"/>
      <w:szCs w:val="21"/>
      <w:lang w:val="zh-CN"/>
    </w:rPr>
  </w:style>
  <w:style w:type="character" w:customStyle="1" w:styleId="184">
    <w:name w:val="纯文本 Char1_1"/>
    <w:link w:val="183"/>
    <w:qFormat/>
    <w:uiPriority w:val="0"/>
    <w:rPr>
      <w:rFonts w:hAnsi="Courier New" w:cs="Times New Roman"/>
      <w:kern w:val="2"/>
      <w:sz w:val="21"/>
      <w:szCs w:val="21"/>
      <w:lang w:val="zh-CN" w:eastAsia="zh-CN"/>
    </w:rPr>
  </w:style>
  <w:style w:type="paragraph" w:customStyle="1" w:styleId="185">
    <w:name w:val="Blockquote_0_1"/>
    <w:basedOn w:val="186"/>
    <w:link w:val="187"/>
    <w:qFormat/>
    <w:uiPriority w:val="0"/>
    <w:pPr>
      <w:autoSpaceDE w:val="0"/>
      <w:autoSpaceDN w:val="0"/>
      <w:adjustRightInd w:val="0"/>
      <w:spacing w:before="100" w:after="100"/>
      <w:ind w:left="360" w:right="360"/>
      <w:jc w:val="left"/>
    </w:pPr>
    <w:rPr>
      <w:kern w:val="0"/>
      <w:sz w:val="24"/>
      <w:szCs w:val="20"/>
      <w:lang w:val="zh-CN"/>
    </w:rPr>
  </w:style>
  <w:style w:type="paragraph" w:customStyle="1" w:styleId="186">
    <w:name w:val="正文_1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87">
    <w:name w:val="Blockquote Char_0_1"/>
    <w:link w:val="185"/>
    <w:qFormat/>
    <w:locked/>
    <w:uiPriority w:val="0"/>
    <w:rPr>
      <w:rFonts w:ascii="Times New Roman" w:hAnsi="Times New Roman" w:cs="Times New Roman"/>
      <w:sz w:val="24"/>
      <w:lang w:val="zh-CN" w:eastAsia="zh-CN"/>
    </w:rPr>
  </w:style>
  <w:style w:type="paragraph" w:customStyle="1" w:styleId="188">
    <w:name w:val="正文文本_0"/>
    <w:basedOn w:val="166"/>
    <w:link w:val="189"/>
    <w:qFormat/>
    <w:uiPriority w:val="0"/>
    <w:pPr>
      <w:spacing w:after="120"/>
    </w:pPr>
    <w:rPr>
      <w:lang w:val="zh-CN"/>
    </w:rPr>
  </w:style>
  <w:style w:type="character" w:customStyle="1" w:styleId="189">
    <w:name w:val="正文文本 Char_0"/>
    <w:link w:val="188"/>
    <w:qFormat/>
    <w:uiPriority w:val="0"/>
    <w:rPr>
      <w:rFonts w:ascii="Times New Roman" w:hAnsi="Times New Roman" w:cs="Times New Roman"/>
      <w:kern w:val="2"/>
      <w:sz w:val="21"/>
      <w:szCs w:val="24"/>
      <w:lang w:val="zh-CN" w:eastAsia="zh-CN"/>
    </w:rPr>
  </w:style>
  <w:style w:type="paragraph" w:customStyle="1" w:styleId="190">
    <w:name w:val="普通(网站)_0"/>
    <w:basedOn w:val="166"/>
    <w:qFormat/>
    <w:uiPriority w:val="0"/>
    <w:pPr>
      <w:widowControl/>
      <w:spacing w:before="100" w:beforeAutospacing="1" w:after="100" w:afterAutospacing="1"/>
      <w:jc w:val="left"/>
    </w:pPr>
    <w:rPr>
      <w:rFonts w:ascii="宋体" w:hAnsi="宋体"/>
      <w:kern w:val="0"/>
      <w:sz w:val="24"/>
    </w:rPr>
  </w:style>
  <w:style w:type="paragraph" w:customStyle="1" w:styleId="191">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2">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3">
    <w:name w:val="脚注文本_0"/>
    <w:basedOn w:val="114"/>
    <w:link w:val="194"/>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194">
    <w:name w:val="脚注文本 Char_0"/>
    <w:link w:val="193"/>
    <w:qFormat/>
    <w:uiPriority w:val="0"/>
    <w:rPr>
      <w:rFonts w:ascii="Times New Roman" w:hAnsi="Times New Roman" w:cs="Times New Roman"/>
      <w:sz w:val="18"/>
      <w:lang w:val="zh-CN" w:eastAsia="zh-CN"/>
    </w:rPr>
  </w:style>
  <w:style w:type="paragraph" w:customStyle="1" w:styleId="195">
    <w:name w:val="font5"/>
    <w:basedOn w:val="1"/>
    <w:qFormat/>
    <w:uiPriority w:val="0"/>
    <w:pPr>
      <w:widowControl/>
      <w:spacing w:before="100" w:beforeAutospacing="1" w:after="100" w:afterAutospacing="1"/>
      <w:jc w:val="left"/>
    </w:pPr>
    <w:rPr>
      <w:rFonts w:hint="eastAsia" w:cs="Times New Roman"/>
      <w:sz w:val="18"/>
      <w:szCs w:val="18"/>
    </w:rPr>
  </w:style>
  <w:style w:type="paragraph" w:customStyle="1" w:styleId="19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19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198">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19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0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1">
    <w:name w:val="xl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2">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0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05">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0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08">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9">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1">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2">
    <w:name w:val="xl42"/>
    <w:basedOn w:val="1"/>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3">
    <w:name w:val="xl43"/>
    <w:basedOn w:val="1"/>
    <w:qFormat/>
    <w:uiPriority w:val="0"/>
    <w:pPr>
      <w:widowControl/>
      <w:spacing w:before="100" w:beforeAutospacing="1" w:after="100" w:afterAutospacing="1"/>
      <w:jc w:val="left"/>
      <w:textAlignment w:val="top"/>
    </w:pPr>
    <w:rPr>
      <w:rFonts w:cs="Times New Roman"/>
      <w:sz w:val="24"/>
      <w:szCs w:val="24"/>
    </w:rPr>
  </w:style>
  <w:style w:type="paragraph" w:customStyle="1" w:styleId="214">
    <w:name w:val="xl44"/>
    <w:basedOn w:val="1"/>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5">
    <w:name w:val="xl45"/>
    <w:basedOn w:val="1"/>
    <w:qFormat/>
    <w:uiPriority w:val="0"/>
    <w:pPr>
      <w:widowControl/>
      <w:spacing w:before="100" w:beforeAutospacing="1" w:after="100" w:afterAutospacing="1"/>
      <w:jc w:val="left"/>
      <w:textAlignment w:val="top"/>
    </w:pPr>
    <w:rPr>
      <w:rFonts w:cs="Times New Roman"/>
      <w:sz w:val="24"/>
      <w:szCs w:val="24"/>
    </w:rPr>
  </w:style>
  <w:style w:type="paragraph" w:customStyle="1" w:styleId="216">
    <w:name w:val="font6"/>
    <w:basedOn w:val="1"/>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17">
    <w:name w:val="Char Char Char Char Char"/>
    <w:basedOn w:val="1"/>
    <w:qFormat/>
    <w:uiPriority w:val="0"/>
    <w:rPr>
      <w:rFonts w:ascii="Tahoma" w:hAnsi="Tahoma" w:cs="Times New Roman"/>
      <w:kern w:val="2"/>
      <w:sz w:val="24"/>
    </w:rPr>
  </w:style>
  <w:style w:type="paragraph" w:customStyle="1" w:styleId="218">
    <w:name w:val="范本目录"/>
    <w:basedOn w:val="1"/>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19">
    <w:name w:val="副标题 Char"/>
    <w:basedOn w:val="55"/>
    <w:link w:val="39"/>
    <w:qFormat/>
    <w:uiPriority w:val="0"/>
    <w:rPr>
      <w:rFonts w:ascii="Arial" w:hAnsi="Arial" w:cs="Times New Roman"/>
      <w:b/>
      <w:bCs/>
      <w:kern w:val="28"/>
      <w:sz w:val="32"/>
      <w:szCs w:val="32"/>
      <w:lang w:val="zh-CN" w:eastAsia="zh-CN"/>
    </w:rPr>
  </w:style>
  <w:style w:type="character" w:customStyle="1" w:styleId="220">
    <w:name w:val="Char Char"/>
    <w:qFormat/>
    <w:uiPriority w:val="0"/>
    <w:rPr>
      <w:rFonts w:ascii="宋体" w:hAnsi="Courier New" w:eastAsia="宋体" w:cs="Courier New"/>
      <w:kern w:val="2"/>
      <w:sz w:val="21"/>
      <w:szCs w:val="21"/>
      <w:lang w:val="en-US" w:eastAsia="zh-CN" w:bidi="ar-SA"/>
    </w:rPr>
  </w:style>
  <w:style w:type="character" w:customStyle="1" w:styleId="221">
    <w:name w:val="标题4 Char Char"/>
    <w:link w:val="222"/>
    <w:qFormat/>
    <w:uiPriority w:val="0"/>
    <w:rPr>
      <w:rFonts w:ascii="Arial" w:hAnsi="Arial"/>
      <w:b/>
      <w:bCs/>
      <w:sz w:val="24"/>
      <w:szCs w:val="32"/>
    </w:rPr>
  </w:style>
  <w:style w:type="paragraph" w:customStyle="1" w:styleId="222">
    <w:name w:val="标题4"/>
    <w:basedOn w:val="4"/>
    <w:next w:val="24"/>
    <w:link w:val="221"/>
    <w:qFormat/>
    <w:uiPriority w:val="0"/>
    <w:pPr>
      <w:spacing w:before="0" w:after="0" w:line="413" w:lineRule="auto"/>
    </w:pPr>
    <w:rPr>
      <w:rFonts w:ascii="Arial" w:hAnsi="Arial" w:cstheme="minorBidi"/>
      <w:kern w:val="0"/>
      <w:sz w:val="24"/>
      <w:lang w:val="en-US"/>
    </w:rPr>
  </w:style>
  <w:style w:type="character" w:customStyle="1" w:styleId="223">
    <w:name w:val="明显引用 Char"/>
    <w:link w:val="224"/>
    <w:qFormat/>
    <w:uiPriority w:val="0"/>
    <w:rPr>
      <w:b/>
      <w:bCs/>
      <w:i/>
      <w:iCs/>
      <w:color w:val="4F81BD"/>
    </w:rPr>
  </w:style>
  <w:style w:type="paragraph" w:styleId="224">
    <w:name w:val="Intense Quote"/>
    <w:basedOn w:val="1"/>
    <w:next w:val="1"/>
    <w:link w:val="223"/>
    <w:qFormat/>
    <w:uiPriority w:val="0"/>
    <w:pPr>
      <w:pBdr>
        <w:bottom w:val="single" w:color="4F81BD" w:themeColor="accent1" w:sz="4" w:space="4"/>
      </w:pBdr>
      <w:spacing w:before="200" w:after="280"/>
      <w:ind w:left="936" w:right="936"/>
    </w:pPr>
    <w:rPr>
      <w:b/>
      <w:bCs/>
      <w:i/>
      <w:iCs/>
      <w:color w:val="4F81BD"/>
    </w:rPr>
  </w:style>
  <w:style w:type="paragraph" w:customStyle="1" w:styleId="225">
    <w:name w:val="明显引用1"/>
    <w:basedOn w:val="1"/>
    <w:next w:val="1"/>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26">
    <w:name w:val="明显引用 Char1"/>
    <w:basedOn w:val="55"/>
    <w:qFormat/>
    <w:uiPriority w:val="30"/>
    <w:rPr>
      <w:rFonts w:ascii="Times New Roman" w:hAnsi="Times New Roman" w:eastAsia="宋体" w:cs="Times New Roman"/>
      <w:i/>
      <w:iCs/>
      <w:color w:val="5B9BD5"/>
      <w:szCs w:val="24"/>
    </w:rPr>
  </w:style>
  <w:style w:type="character" w:customStyle="1" w:styleId="227">
    <w:name w:val="标题5 Char Char"/>
    <w:link w:val="228"/>
    <w:qFormat/>
    <w:uiPriority w:val="0"/>
    <w:rPr>
      <w:rFonts w:ascii="Arial" w:hAnsi="Arial"/>
      <w:b/>
      <w:bCs/>
      <w:sz w:val="24"/>
      <w:szCs w:val="32"/>
    </w:rPr>
  </w:style>
  <w:style w:type="paragraph" w:customStyle="1" w:styleId="228">
    <w:name w:val="标题5"/>
    <w:basedOn w:val="5"/>
    <w:link w:val="227"/>
    <w:qFormat/>
    <w:uiPriority w:val="0"/>
    <w:pPr>
      <w:spacing w:line="413" w:lineRule="auto"/>
      <w:jc w:val="left"/>
    </w:pPr>
    <w:rPr>
      <w:rFonts w:ascii="Arial" w:hAnsi="Arial"/>
      <w:sz w:val="24"/>
    </w:rPr>
  </w:style>
  <w:style w:type="character" w:customStyle="1" w:styleId="229">
    <w:name w:val="引用 Char"/>
    <w:link w:val="230"/>
    <w:qFormat/>
    <w:uiPriority w:val="0"/>
    <w:rPr>
      <w:i/>
      <w:iCs/>
      <w:color w:val="000000"/>
    </w:rPr>
  </w:style>
  <w:style w:type="paragraph" w:styleId="230">
    <w:name w:val="Quote"/>
    <w:basedOn w:val="1"/>
    <w:next w:val="1"/>
    <w:link w:val="229"/>
    <w:qFormat/>
    <w:uiPriority w:val="0"/>
    <w:rPr>
      <w:i/>
      <w:iCs/>
      <w:color w:val="000000"/>
    </w:rPr>
  </w:style>
  <w:style w:type="paragraph" w:customStyle="1" w:styleId="231">
    <w:name w:val="引用1"/>
    <w:basedOn w:val="1"/>
    <w:next w:val="1"/>
    <w:qFormat/>
    <w:uiPriority w:val="0"/>
    <w:rPr>
      <w:rFonts w:ascii="Calibri" w:hAnsi="Calibri" w:cs="Times New Roman"/>
      <w:i/>
      <w:iCs/>
      <w:color w:val="000000"/>
      <w:kern w:val="2"/>
      <w:sz w:val="21"/>
      <w:szCs w:val="22"/>
    </w:rPr>
  </w:style>
  <w:style w:type="character" w:customStyle="1" w:styleId="232">
    <w:name w:val="引用 Char1"/>
    <w:basedOn w:val="55"/>
    <w:qFormat/>
    <w:uiPriority w:val="29"/>
    <w:rPr>
      <w:rFonts w:ascii="Times New Roman" w:hAnsi="Times New Roman" w:eastAsia="宋体" w:cs="Times New Roman"/>
      <w:i/>
      <w:iCs/>
      <w:color w:val="404040"/>
      <w:szCs w:val="24"/>
    </w:rPr>
  </w:style>
  <w:style w:type="character" w:customStyle="1" w:styleId="233">
    <w:name w:val="ask-title2"/>
    <w:qFormat/>
    <w:uiPriority w:val="0"/>
  </w:style>
  <w:style w:type="character" w:customStyle="1" w:styleId="234">
    <w:name w:val="正文文本 Char1"/>
    <w:qFormat/>
    <w:uiPriority w:val="0"/>
    <w:rPr>
      <w:kern w:val="2"/>
      <w:sz w:val="21"/>
      <w:szCs w:val="22"/>
    </w:rPr>
  </w:style>
  <w:style w:type="character" w:customStyle="1" w:styleId="235">
    <w:name w:val="不明显强调1"/>
    <w:qFormat/>
    <w:uiPriority w:val="0"/>
    <w:rPr>
      <w:i/>
      <w:iCs/>
      <w:color w:val="808080"/>
    </w:rPr>
  </w:style>
  <w:style w:type="character" w:customStyle="1" w:styleId="236">
    <w:name w:val="明显参考1"/>
    <w:qFormat/>
    <w:uiPriority w:val="0"/>
    <w:rPr>
      <w:b/>
      <w:bCs/>
      <w:smallCaps/>
      <w:color w:val="C0504D"/>
      <w:spacing w:val="5"/>
      <w:u w:val="single"/>
    </w:rPr>
  </w:style>
  <w:style w:type="character" w:customStyle="1" w:styleId="237">
    <w:name w:val="书籍标题1"/>
    <w:qFormat/>
    <w:uiPriority w:val="0"/>
    <w:rPr>
      <w:b/>
      <w:bCs/>
      <w:smallCaps/>
      <w:spacing w:val="5"/>
    </w:rPr>
  </w:style>
  <w:style w:type="character" w:customStyle="1" w:styleId="238">
    <w:name w:val="日期 Char1"/>
    <w:qFormat/>
    <w:uiPriority w:val="0"/>
    <w:rPr>
      <w:kern w:val="2"/>
      <w:sz w:val="21"/>
      <w:szCs w:val="22"/>
    </w:rPr>
  </w:style>
  <w:style w:type="character" w:customStyle="1" w:styleId="239">
    <w:name w:val="明显强调1"/>
    <w:qFormat/>
    <w:uiPriority w:val="0"/>
    <w:rPr>
      <w:b/>
      <w:bCs/>
      <w:i/>
      <w:iCs/>
      <w:color w:val="4F81BD"/>
    </w:rPr>
  </w:style>
  <w:style w:type="character" w:customStyle="1" w:styleId="240">
    <w:name w:val="textcontents"/>
    <w:qFormat/>
    <w:uiPriority w:val="0"/>
    <w:rPr>
      <w:rFonts w:cs="Times New Roman"/>
    </w:rPr>
  </w:style>
  <w:style w:type="character" w:customStyle="1" w:styleId="241">
    <w:name w:val="不明显参考1"/>
    <w:qFormat/>
    <w:uiPriority w:val="0"/>
    <w:rPr>
      <w:smallCaps/>
      <w:color w:val="C0504D"/>
      <w:u w:val="single"/>
    </w:rPr>
  </w:style>
  <w:style w:type="character" w:customStyle="1" w:styleId="242">
    <w:name w:val="批注文字 Char Char"/>
    <w:qFormat/>
    <w:uiPriority w:val="0"/>
    <w:rPr>
      <w:rFonts w:ascii="宋体" w:hAnsi="Times New Roman" w:eastAsia="宋体" w:cs="Times New Roman"/>
      <w:sz w:val="28"/>
      <w:szCs w:val="20"/>
    </w:rPr>
  </w:style>
  <w:style w:type="character" w:customStyle="1" w:styleId="243">
    <w:name w:val="文档结构图 Char1"/>
    <w:qFormat/>
    <w:uiPriority w:val="0"/>
    <w:rPr>
      <w:rFonts w:ascii="宋体"/>
      <w:kern w:val="2"/>
      <w:sz w:val="18"/>
      <w:szCs w:val="18"/>
    </w:rPr>
  </w:style>
  <w:style w:type="paragraph" w:customStyle="1" w:styleId="244">
    <w:name w:val="修订1"/>
    <w:qFormat/>
    <w:uiPriority w:val="0"/>
    <w:rPr>
      <w:rFonts w:ascii="Times New Roman" w:hAnsi="Times New Roman" w:eastAsia="宋体" w:cs="Times New Roman"/>
      <w:kern w:val="2"/>
      <w:sz w:val="21"/>
      <w:szCs w:val="24"/>
      <w:lang w:val="en-US" w:eastAsia="zh-CN" w:bidi="ar-SA"/>
    </w:rPr>
  </w:style>
  <w:style w:type="character" w:customStyle="1" w:styleId="245">
    <w:name w:val="页脚 Char1"/>
    <w:semiHidden/>
    <w:qFormat/>
    <w:uiPriority w:val="99"/>
    <w:rPr>
      <w:kern w:val="2"/>
      <w:sz w:val="18"/>
      <w:szCs w:val="18"/>
    </w:rPr>
  </w:style>
  <w:style w:type="character" w:customStyle="1" w:styleId="246">
    <w:name w:val="批注框文本 Char2"/>
    <w:semiHidden/>
    <w:qFormat/>
    <w:uiPriority w:val="99"/>
    <w:rPr>
      <w:kern w:val="2"/>
      <w:sz w:val="18"/>
      <w:szCs w:val="18"/>
    </w:rPr>
  </w:style>
  <w:style w:type="character" w:customStyle="1" w:styleId="247">
    <w:name w:val="批注主题 Char2"/>
    <w:semiHidden/>
    <w:qFormat/>
    <w:uiPriority w:val="99"/>
    <w:rPr>
      <w:b/>
      <w:bCs/>
      <w:kern w:val="2"/>
      <w:sz w:val="21"/>
      <w:szCs w:val="22"/>
    </w:rPr>
  </w:style>
  <w:style w:type="character" w:customStyle="1" w:styleId="248">
    <w:name w:val="文档结构图 Char2"/>
    <w:semiHidden/>
    <w:qFormat/>
    <w:uiPriority w:val="99"/>
    <w:rPr>
      <w:rFonts w:ascii="宋体"/>
      <w:kern w:val="2"/>
      <w:sz w:val="18"/>
      <w:szCs w:val="18"/>
    </w:rPr>
  </w:style>
  <w:style w:type="character" w:customStyle="1" w:styleId="249">
    <w:name w:val="页眉 Char1"/>
    <w:semiHidden/>
    <w:qFormat/>
    <w:uiPriority w:val="99"/>
    <w:rPr>
      <w:kern w:val="2"/>
      <w:sz w:val="18"/>
      <w:szCs w:val="18"/>
    </w:rPr>
  </w:style>
  <w:style w:type="character" w:customStyle="1" w:styleId="250">
    <w:name w:val="日期 Char2"/>
    <w:semiHidden/>
    <w:qFormat/>
    <w:uiPriority w:val="99"/>
    <w:rPr>
      <w:kern w:val="2"/>
      <w:sz w:val="21"/>
      <w:szCs w:val="22"/>
    </w:rPr>
  </w:style>
  <w:style w:type="character" w:customStyle="1" w:styleId="251">
    <w:name w:val="正文文本 Char2"/>
    <w:semiHidden/>
    <w:qFormat/>
    <w:uiPriority w:val="99"/>
    <w:rPr>
      <w:kern w:val="2"/>
      <w:sz w:val="21"/>
      <w:szCs w:val="22"/>
    </w:rPr>
  </w:style>
  <w:style w:type="character" w:customStyle="1" w:styleId="252">
    <w:name w:val="标题 Char1"/>
    <w:qFormat/>
    <w:uiPriority w:val="10"/>
    <w:rPr>
      <w:rFonts w:ascii="Cambria" w:hAnsi="Cambria" w:cs="Times New Roman"/>
      <w:b/>
      <w:bCs/>
      <w:kern w:val="2"/>
      <w:sz w:val="32"/>
      <w:szCs w:val="32"/>
    </w:rPr>
  </w:style>
  <w:style w:type="character" w:customStyle="1" w:styleId="253">
    <w:name w:val="副标题 Char1"/>
    <w:qFormat/>
    <w:uiPriority w:val="11"/>
    <w:rPr>
      <w:rFonts w:ascii="Cambria" w:hAnsi="Cambria" w:cs="Times New Roman"/>
      <w:b/>
      <w:bCs/>
      <w:kern w:val="28"/>
      <w:sz w:val="32"/>
      <w:szCs w:val="32"/>
    </w:rPr>
  </w:style>
  <w:style w:type="paragraph" w:customStyle="1" w:styleId="254">
    <w:name w:val="空半行"/>
    <w:basedOn w:val="1"/>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5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6">
    <w:name w:val="flNote"/>
    <w:basedOn w:val="1"/>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57">
    <w:name w:val="正文2 Char"/>
    <w:link w:val="258"/>
    <w:qFormat/>
    <w:uiPriority w:val="0"/>
    <w:rPr>
      <w:rFonts w:ascii="楷体" w:eastAsia="楷体"/>
      <w:b/>
      <w:color w:val="0000FF"/>
    </w:rPr>
  </w:style>
  <w:style w:type="paragraph" w:customStyle="1" w:styleId="258">
    <w:name w:val="正文2"/>
    <w:link w:val="257"/>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59">
    <w:name w:val="p0"/>
    <w:basedOn w:val="1"/>
    <w:qFormat/>
    <w:uiPriority w:val="0"/>
    <w:pPr>
      <w:widowControl/>
      <w:spacing w:before="100" w:beforeAutospacing="1" w:after="100" w:afterAutospacing="1"/>
      <w:jc w:val="left"/>
    </w:pPr>
    <w:rPr>
      <w:rFonts w:cs="宋体"/>
      <w:sz w:val="24"/>
      <w:szCs w:val="24"/>
    </w:rPr>
  </w:style>
  <w:style w:type="character" w:customStyle="1" w:styleId="260">
    <w:name w:val="正文文本 (2)_"/>
    <w:link w:val="261"/>
    <w:qFormat/>
    <w:locked/>
    <w:uiPriority w:val="99"/>
    <w:rPr>
      <w:rFonts w:ascii="MingLiU" w:eastAsia="MingLiU" w:cs="MingLiU"/>
      <w:spacing w:val="20"/>
      <w:sz w:val="22"/>
      <w:shd w:val="clear" w:color="auto" w:fill="FFFFFF"/>
    </w:rPr>
  </w:style>
  <w:style w:type="paragraph" w:customStyle="1" w:styleId="261">
    <w:name w:val="正文文本 (2)1"/>
    <w:basedOn w:val="1"/>
    <w:link w:val="260"/>
    <w:qFormat/>
    <w:uiPriority w:val="99"/>
    <w:pPr>
      <w:shd w:val="clear" w:color="auto" w:fill="FFFFFF"/>
      <w:spacing w:before="300" w:line="439" w:lineRule="exact"/>
      <w:jc w:val="distribute"/>
    </w:pPr>
    <w:rPr>
      <w:rFonts w:ascii="MingLiU" w:eastAsia="MingLiU" w:cs="MingLiU"/>
      <w:spacing w:val="20"/>
      <w:sz w:val="22"/>
    </w:rPr>
  </w:style>
  <w:style w:type="character" w:customStyle="1" w:styleId="262">
    <w:name w:val="正文文本 (2) + 间距 0 pt5"/>
    <w:qFormat/>
    <w:uiPriority w:val="99"/>
    <w:rPr>
      <w:rFonts w:ascii="MingLiU" w:eastAsia="MingLiU" w:cs="MingLiU"/>
      <w:spacing w:val="0"/>
      <w:sz w:val="22"/>
      <w:shd w:val="clear" w:color="auto" w:fill="FFFFFF"/>
    </w:rPr>
  </w:style>
  <w:style w:type="character" w:customStyle="1" w:styleId="263">
    <w:name w:val="访问过的超链接1"/>
    <w:basedOn w:val="55"/>
    <w:semiHidden/>
    <w:unhideWhenUsed/>
    <w:qFormat/>
    <w:uiPriority w:val="99"/>
    <w:rPr>
      <w:color w:val="954F72"/>
      <w:u w:val="single"/>
    </w:rPr>
  </w:style>
  <w:style w:type="character" w:customStyle="1" w:styleId="264">
    <w:name w:val="明显引用 Char2"/>
    <w:basedOn w:val="55"/>
    <w:qFormat/>
    <w:uiPriority w:val="30"/>
    <w:rPr>
      <w:b/>
      <w:bCs/>
      <w:i/>
      <w:iCs/>
      <w:color w:val="4F81BD" w:themeColor="accent1"/>
      <w14:textFill>
        <w14:solidFill>
          <w14:schemeClr w14:val="accent1"/>
        </w14:solidFill>
      </w14:textFill>
    </w:rPr>
  </w:style>
  <w:style w:type="character" w:customStyle="1" w:styleId="265">
    <w:name w:val="引用 Char2"/>
    <w:basedOn w:val="55"/>
    <w:qFormat/>
    <w:uiPriority w:val="29"/>
    <w:rPr>
      <w:i/>
      <w:iCs/>
      <w:color w:val="000000" w:themeColor="text1"/>
      <w14:textFill>
        <w14:solidFill>
          <w14:schemeClr w14:val="tx1"/>
        </w14:solidFill>
      </w14:textFill>
    </w:rPr>
  </w:style>
  <w:style w:type="table" w:customStyle="1" w:styleId="266">
    <w:name w:val="网格型4"/>
    <w:basedOn w:val="53"/>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7">
    <w:name w:val="Table Normal"/>
    <w:semiHidden/>
    <w:unhideWhenUsed/>
    <w:qFormat/>
    <w:uiPriority w:val="0"/>
    <w:tblPr>
      <w:tblCellMar>
        <w:top w:w="0" w:type="dxa"/>
        <w:left w:w="0" w:type="dxa"/>
        <w:bottom w:w="0" w:type="dxa"/>
        <w:right w:w="0" w:type="dxa"/>
      </w:tblCellMar>
    </w:tblPr>
  </w:style>
  <w:style w:type="paragraph" w:customStyle="1" w:styleId="26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44CFDD-AEC3-4BBC-9B81-C7151120817D}">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106</Pages>
  <Words>48211</Words>
  <Characters>50849</Characters>
  <Lines>445</Lines>
  <Paragraphs>125</Paragraphs>
  <TotalTime>0</TotalTime>
  <ScaleCrop>false</ScaleCrop>
  <LinksUpToDate>false</LinksUpToDate>
  <CharactersWithSpaces>59819</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2021-12-20T01:22:00Z</dcterms:created>
  <dc:creator>Anakin</dc:creator>
  <cp:lastModifiedBy>admin</cp:lastModifiedBy>
  <cp:lastPrinted>2019-12-07T15:20:00Z</cp:lastPrinted>
  <dcterms:modified xsi:type="dcterms:W3CDTF">2024-03-13T07:41:53Z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BE393E6EDC3845A1908AECFA21276DCE_12</vt:lpwstr>
  </property>
</Properties>
</file>